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2011C">
      <w:pPr>
        <w:pStyle w:val="3"/>
        <w:bidi w:val="0"/>
        <w:jc w:val="center"/>
        <w:rPr>
          <w:lang w:val="en-US" w:eastAsia="zh-CN"/>
        </w:rPr>
      </w:pPr>
    </w:p>
    <w:p w14:paraId="24E0591F">
      <w:pPr>
        <w:pStyle w:val="3"/>
        <w:bidi w:val="0"/>
        <w:jc w:val="center"/>
        <w:rPr>
          <w:lang w:val="en-US" w:eastAsia="zh-CN"/>
        </w:rPr>
      </w:pPr>
    </w:p>
    <w:p w14:paraId="5E8680C8">
      <w:pPr>
        <w:pStyle w:val="3"/>
        <w:bidi w:val="0"/>
        <w:jc w:val="center"/>
      </w:pPr>
      <w:r>
        <w:rPr>
          <w:lang w:val="en-US" w:eastAsia="zh-CN"/>
        </w:rPr>
        <w:t>中国电子学会标准</w:t>
      </w:r>
    </w:p>
    <w:p w14:paraId="5B2B550D">
      <w:pPr>
        <w:pStyle w:val="3"/>
        <w:bidi w:val="0"/>
        <w:jc w:val="center"/>
        <w:rPr>
          <w:rFonts w:hint="eastAsia"/>
          <w:lang w:val="en-US" w:eastAsia="zh-CN"/>
        </w:rPr>
      </w:pPr>
      <w:r>
        <w:rPr>
          <w:rFonts w:hint="eastAsia"/>
          <w:lang w:val="en-US" w:eastAsia="zh-CN"/>
        </w:rPr>
        <w:t>《文物数字资源 第3部分：石窟寺类三维数字</w:t>
      </w:r>
    </w:p>
    <w:p w14:paraId="29F165E1">
      <w:pPr>
        <w:pStyle w:val="3"/>
        <w:bidi w:val="0"/>
        <w:jc w:val="center"/>
        <w:rPr>
          <w:rFonts w:hint="eastAsia"/>
          <w:lang w:val="en-US" w:eastAsia="zh-CN"/>
        </w:rPr>
      </w:pPr>
      <w:r>
        <w:rPr>
          <w:rFonts w:hint="eastAsia"/>
          <w:lang w:val="en-US" w:eastAsia="zh-CN"/>
        </w:rPr>
        <w:t>资源元数据》</w:t>
      </w:r>
    </w:p>
    <w:p w14:paraId="4DEC8267">
      <w:pPr>
        <w:pStyle w:val="3"/>
        <w:bidi w:val="0"/>
        <w:jc w:val="center"/>
        <w:rPr>
          <w:rFonts w:hint="eastAsia"/>
          <w:lang w:val="en-US" w:eastAsia="zh-CN"/>
        </w:rPr>
      </w:pPr>
      <w:r>
        <w:rPr>
          <w:rFonts w:hint="eastAsia"/>
          <w:lang w:val="en-US" w:eastAsia="zh-CN"/>
        </w:rPr>
        <w:t>编制说明</w:t>
      </w:r>
    </w:p>
    <w:p w14:paraId="08D1B394">
      <w:pPr>
        <w:rPr>
          <w:rFonts w:hint="eastAsia"/>
          <w:lang w:val="en-US" w:eastAsia="zh-CN"/>
        </w:rPr>
      </w:pPr>
    </w:p>
    <w:p w14:paraId="58732FC1">
      <w:pPr>
        <w:rPr>
          <w:rFonts w:hint="eastAsia"/>
          <w:lang w:val="en-US" w:eastAsia="zh-CN"/>
        </w:rPr>
      </w:pPr>
    </w:p>
    <w:p w14:paraId="62BB48E7">
      <w:pPr>
        <w:rPr>
          <w:rFonts w:hint="eastAsia"/>
          <w:lang w:val="en-US" w:eastAsia="zh-CN"/>
        </w:rPr>
      </w:pPr>
    </w:p>
    <w:p w14:paraId="3FF0F368">
      <w:pPr>
        <w:rPr>
          <w:rFonts w:hint="eastAsia"/>
          <w:lang w:val="en-US" w:eastAsia="zh-CN"/>
        </w:rPr>
      </w:pPr>
    </w:p>
    <w:p w14:paraId="62FE8A08">
      <w:pPr>
        <w:rPr>
          <w:rFonts w:hint="eastAsia"/>
          <w:lang w:val="en-US" w:eastAsia="zh-CN"/>
        </w:rPr>
      </w:pPr>
    </w:p>
    <w:p w14:paraId="1B23F3DB">
      <w:pPr>
        <w:rPr>
          <w:rFonts w:hint="eastAsia"/>
          <w:lang w:val="en-US" w:eastAsia="zh-CN"/>
        </w:rPr>
      </w:pPr>
    </w:p>
    <w:p w14:paraId="1F1E5A0E">
      <w:pPr>
        <w:rPr>
          <w:rFonts w:hint="eastAsia"/>
          <w:lang w:val="en-US" w:eastAsia="zh-CN"/>
        </w:rPr>
      </w:pPr>
    </w:p>
    <w:p w14:paraId="0188E7F2">
      <w:pPr>
        <w:rPr>
          <w:rFonts w:hint="eastAsia"/>
          <w:lang w:val="en-US" w:eastAsia="zh-CN"/>
        </w:rPr>
      </w:pPr>
    </w:p>
    <w:p w14:paraId="4179E463">
      <w:pPr>
        <w:rPr>
          <w:rFonts w:hint="eastAsia"/>
          <w:lang w:val="en-US" w:eastAsia="zh-CN"/>
        </w:rPr>
      </w:pPr>
    </w:p>
    <w:p w14:paraId="732AAF28">
      <w:pPr>
        <w:rPr>
          <w:rFonts w:hint="eastAsia"/>
          <w:lang w:val="en-US" w:eastAsia="zh-CN"/>
        </w:rPr>
      </w:pPr>
    </w:p>
    <w:p w14:paraId="61469DE7">
      <w:pPr>
        <w:rPr>
          <w:rFonts w:hint="eastAsia"/>
          <w:lang w:val="en-US" w:eastAsia="zh-CN"/>
        </w:rPr>
      </w:pPr>
    </w:p>
    <w:p w14:paraId="174AF06E">
      <w:pPr>
        <w:rPr>
          <w:rFonts w:hint="eastAsia"/>
          <w:lang w:val="en-US" w:eastAsia="zh-CN"/>
        </w:rPr>
      </w:pPr>
    </w:p>
    <w:p w14:paraId="56F4AE33">
      <w:pPr>
        <w:rPr>
          <w:rFonts w:hint="eastAsia"/>
          <w:lang w:val="en-US" w:eastAsia="zh-CN"/>
        </w:rPr>
      </w:pPr>
    </w:p>
    <w:p w14:paraId="742ED368">
      <w:pPr>
        <w:rPr>
          <w:rFonts w:hint="eastAsia"/>
          <w:lang w:val="en-US" w:eastAsia="zh-CN"/>
        </w:rPr>
      </w:pPr>
    </w:p>
    <w:p w14:paraId="316EE8D6">
      <w:pPr>
        <w:rPr>
          <w:rFonts w:hint="eastAsia"/>
          <w:lang w:val="en-US" w:eastAsia="zh-CN"/>
        </w:rPr>
      </w:pPr>
    </w:p>
    <w:p w14:paraId="374802FE">
      <w:pPr>
        <w:rPr>
          <w:rFonts w:hint="eastAsia"/>
          <w:lang w:val="en-US" w:eastAsia="zh-CN"/>
        </w:rPr>
      </w:pPr>
    </w:p>
    <w:p w14:paraId="080864A6">
      <w:pPr>
        <w:rPr>
          <w:rFonts w:hint="eastAsia"/>
          <w:lang w:val="en-US" w:eastAsia="zh-CN"/>
        </w:rPr>
      </w:pPr>
    </w:p>
    <w:p w14:paraId="7DF5C8DD">
      <w:pPr>
        <w:rPr>
          <w:rFonts w:hint="eastAsia"/>
          <w:lang w:val="en-US" w:eastAsia="zh-CN"/>
        </w:rPr>
      </w:pPr>
    </w:p>
    <w:p w14:paraId="69BADA6A">
      <w:pPr>
        <w:rPr>
          <w:rFonts w:hint="eastAsia"/>
          <w:lang w:val="en-US" w:eastAsia="zh-CN"/>
        </w:rPr>
      </w:pPr>
    </w:p>
    <w:p w14:paraId="0BBCB85B">
      <w:pPr>
        <w:rPr>
          <w:rFonts w:hint="eastAsia"/>
          <w:lang w:val="en-US" w:eastAsia="zh-CN"/>
        </w:rPr>
      </w:pPr>
    </w:p>
    <w:p w14:paraId="3BFC855D">
      <w:pPr>
        <w:rPr>
          <w:rFonts w:hint="eastAsia"/>
          <w:lang w:val="en-US" w:eastAsia="zh-CN"/>
        </w:rPr>
      </w:pPr>
    </w:p>
    <w:p w14:paraId="2920E55B">
      <w:pPr>
        <w:pStyle w:val="3"/>
        <w:bidi w:val="0"/>
        <w:jc w:val="center"/>
        <w:rPr>
          <w:lang w:val="en-US" w:eastAsia="zh-CN"/>
        </w:rPr>
      </w:pPr>
      <w:r>
        <w:rPr>
          <w:rFonts w:hint="eastAsia"/>
          <w:lang w:val="en-US" w:eastAsia="zh-CN"/>
        </w:rPr>
        <w:t>2026年7月</w:t>
      </w:r>
    </w:p>
    <w:p w14:paraId="7D7126B2"/>
    <w:p w14:paraId="485C7A32">
      <w:pPr>
        <w:pStyle w:val="3"/>
        <w:keepNext w:val="0"/>
        <w:keepLines w:val="0"/>
        <w:widowControl/>
        <w:suppressLineNumbers w:val="0"/>
      </w:pPr>
      <w:r>
        <w:t>一、工作简况</w:t>
      </w:r>
    </w:p>
    <w:p w14:paraId="2404E0B6">
      <w:pPr>
        <w:pStyle w:val="4"/>
        <w:keepNext w:val="0"/>
        <w:keepLines w:val="0"/>
        <w:widowControl/>
        <w:suppressLineNumbers w:val="0"/>
      </w:pPr>
      <w:r>
        <w:t>（一）任务来源与起草单位</w:t>
      </w:r>
    </w:p>
    <w:p w14:paraId="7E0D491A">
      <w:pPr>
        <w:ind w:firstLine="480" w:firstLineChars="200"/>
        <w:rPr>
          <w:rFonts w:hint="eastAsia" w:ascii="宋体" w:hAnsi="宋体" w:eastAsia="宋体" w:cs="宋体"/>
          <w:sz w:val="24"/>
          <w:szCs w:val="24"/>
        </w:rPr>
      </w:pPr>
      <w:r>
        <w:rPr>
          <w:rFonts w:hint="eastAsia" w:ascii="宋体" w:hAnsi="宋体" w:eastAsia="宋体" w:cs="宋体"/>
          <w:sz w:val="24"/>
          <w:szCs w:val="24"/>
        </w:rPr>
        <w:t>2023 年 11 月，国家重点研发计划 “文化科技与现代服务业” 专项项目文物数字资源管理与利用标准体系研究（2023YFF0906500） 获批立项，项目由中国国家博物馆牵头，联合多家文博、高校、数字化技术单位共同申报。课题二《文物数字资源体系构建及元数据标准研究》明确提出搭建完整文物数字资源标准体系，包含三部分系列团体标准：</w:t>
      </w:r>
    </w:p>
    <w:p w14:paraId="05534420">
      <w:pPr>
        <w:ind w:firstLine="480" w:firstLineChars="200"/>
        <w:rPr>
          <w:rFonts w:hint="eastAsia" w:ascii="宋体" w:hAnsi="宋体" w:eastAsia="宋体" w:cs="宋体"/>
          <w:sz w:val="24"/>
          <w:szCs w:val="24"/>
        </w:rPr>
      </w:pPr>
      <w:r>
        <w:rPr>
          <w:rFonts w:hint="eastAsia" w:ascii="宋体" w:hAnsi="宋体" w:eastAsia="宋体" w:cs="宋体"/>
          <w:sz w:val="24"/>
          <w:szCs w:val="24"/>
        </w:rPr>
        <w:t>《文物数字资源 第</w:t>
      </w:r>
      <w:r>
        <w:rPr>
          <w:rFonts w:hint="eastAsia" w:ascii="宋体" w:hAnsi="宋体" w:eastAsia="宋体" w:cs="宋体"/>
          <w:sz w:val="24"/>
          <w:szCs w:val="24"/>
          <w:lang w:val="en-US" w:eastAsia="zh-CN"/>
        </w:rPr>
        <w:t>1</w:t>
      </w:r>
      <w:r>
        <w:rPr>
          <w:rFonts w:hint="eastAsia" w:ascii="宋体" w:hAnsi="宋体" w:eastAsia="宋体" w:cs="宋体"/>
          <w:sz w:val="24"/>
          <w:szCs w:val="24"/>
        </w:rPr>
        <w:t>部分：元数据模型》</w:t>
      </w:r>
    </w:p>
    <w:p w14:paraId="7AF5E482">
      <w:pPr>
        <w:ind w:firstLine="480" w:firstLineChars="200"/>
        <w:rPr>
          <w:rFonts w:hint="eastAsia" w:ascii="宋体" w:hAnsi="宋体" w:eastAsia="宋体" w:cs="宋体"/>
          <w:sz w:val="24"/>
          <w:szCs w:val="24"/>
        </w:rPr>
      </w:pPr>
      <w:r>
        <w:rPr>
          <w:rFonts w:hint="eastAsia" w:ascii="宋体" w:hAnsi="宋体" w:eastAsia="宋体" w:cs="宋体"/>
          <w:sz w:val="24"/>
          <w:szCs w:val="24"/>
        </w:rPr>
        <w:t>《文物数字资源 第</w:t>
      </w:r>
      <w:r>
        <w:rPr>
          <w:rFonts w:hint="eastAsia" w:ascii="宋体" w:hAnsi="宋体" w:eastAsia="宋体" w:cs="宋体"/>
          <w:sz w:val="24"/>
          <w:szCs w:val="24"/>
          <w:lang w:val="en-US" w:eastAsia="zh-CN"/>
        </w:rPr>
        <w:t>2</w:t>
      </w:r>
      <w:r>
        <w:rPr>
          <w:rFonts w:hint="eastAsia" w:ascii="宋体" w:hAnsi="宋体" w:eastAsia="宋体" w:cs="宋体"/>
          <w:sz w:val="24"/>
          <w:szCs w:val="24"/>
        </w:rPr>
        <w:t>部分：元数据互操作应用规范》</w:t>
      </w:r>
    </w:p>
    <w:p w14:paraId="56D5DAB1">
      <w:pPr>
        <w:ind w:firstLine="480" w:firstLineChars="200"/>
        <w:rPr>
          <w:rFonts w:hint="eastAsia" w:ascii="宋体" w:hAnsi="宋体" w:eastAsia="宋体" w:cs="宋体"/>
          <w:sz w:val="24"/>
          <w:szCs w:val="24"/>
        </w:rPr>
      </w:pPr>
      <w:r>
        <w:rPr>
          <w:rFonts w:hint="eastAsia" w:ascii="宋体" w:hAnsi="宋体" w:eastAsia="宋体" w:cs="宋体"/>
          <w:sz w:val="24"/>
          <w:szCs w:val="24"/>
        </w:rPr>
        <w:t>《文物数字资源 第</w:t>
      </w:r>
      <w:r>
        <w:rPr>
          <w:rFonts w:hint="eastAsia" w:ascii="宋体" w:hAnsi="宋体" w:eastAsia="宋体" w:cs="宋体"/>
          <w:sz w:val="24"/>
          <w:szCs w:val="24"/>
          <w:lang w:val="en-US" w:eastAsia="zh-CN"/>
        </w:rPr>
        <w:t>3</w:t>
      </w:r>
      <w:r>
        <w:rPr>
          <w:rFonts w:hint="eastAsia" w:ascii="宋体" w:hAnsi="宋体" w:eastAsia="宋体" w:cs="宋体"/>
          <w:sz w:val="24"/>
          <w:szCs w:val="24"/>
        </w:rPr>
        <w:t>部分：石窟寺类三维数字资源元数据》</w:t>
      </w:r>
    </w:p>
    <w:p w14:paraId="1C883D49">
      <w:pPr>
        <w:ind w:firstLine="480" w:firstLineChars="200"/>
        <w:rPr>
          <w:rFonts w:hint="eastAsia" w:ascii="宋体" w:hAnsi="宋体" w:eastAsia="宋体" w:cs="宋体"/>
          <w:sz w:val="24"/>
          <w:szCs w:val="24"/>
        </w:rPr>
      </w:pPr>
      <w:r>
        <w:rPr>
          <w:rFonts w:hint="eastAsia" w:ascii="宋体" w:hAnsi="宋体" w:eastAsia="宋体" w:cs="宋体"/>
          <w:sz w:val="24"/>
          <w:szCs w:val="24"/>
        </w:rPr>
        <w:t>本标准为该系列第三部分，由中国电子学会（T/CIE）提出并归口。本标准起草单位：云冈研究院、大同云冈数字科技有限公司、中国国家博物馆、湖南大学、浙江大学、武汉大学、中国文物信息交流中心。</w:t>
      </w:r>
    </w:p>
    <w:p w14:paraId="694501B5">
      <w:pPr>
        <w:pStyle w:val="4"/>
        <w:keepNext w:val="0"/>
        <w:keepLines w:val="0"/>
        <w:widowControl/>
        <w:suppressLineNumbers w:val="0"/>
      </w:pPr>
      <w:r>
        <w:t>（二）主要工作过程与起草人承担工作</w:t>
      </w:r>
    </w:p>
    <w:p w14:paraId="649D13DA">
      <w:pPr>
        <w:ind w:firstLine="480" w:firstLineChars="200"/>
        <w:rPr>
          <w:rFonts w:hint="eastAsia" w:ascii="宋体" w:hAnsi="宋体" w:eastAsia="宋体" w:cs="宋体"/>
          <w:sz w:val="24"/>
          <w:szCs w:val="24"/>
        </w:rPr>
      </w:pPr>
      <w:r>
        <w:rPr>
          <w:rFonts w:hint="default" w:ascii="宋体" w:hAnsi="宋体" w:eastAsia="宋体" w:cs="宋体"/>
          <w:sz w:val="24"/>
          <w:szCs w:val="24"/>
        </w:rPr>
        <w:t>《征求意见稿》牵头单位云冈研究院牵头组建工作组，联合大同云冈数字科技有限公司、中国国家博物馆、湖南大学、浙江大学、武汉大学、中国文物信息交流中心等多家单位，围绕“石窟寺类三维数字资源元数据”这一研究对象，采用“线上+线下”的方式，积极开展文献研究、实地调研、专家视频会议等工作，同时结合石窟寺数字化保护的实践经验，提出并逐步完善《征求意见稿》的框架和大纲。</w:t>
      </w:r>
    </w:p>
    <w:p w14:paraId="70722E8E">
      <w:pPr>
        <w:ind w:firstLine="480" w:firstLineChars="200"/>
        <w:rPr>
          <w:rFonts w:hint="default" w:ascii="宋体" w:hAnsi="宋体" w:eastAsia="宋体" w:cs="宋体"/>
          <w:sz w:val="24"/>
          <w:szCs w:val="24"/>
        </w:rPr>
      </w:pPr>
      <w:r>
        <w:rPr>
          <w:rFonts w:hint="default" w:ascii="宋体" w:hAnsi="宋体" w:eastAsia="宋体" w:cs="宋体"/>
          <w:sz w:val="24"/>
          <w:szCs w:val="24"/>
        </w:rPr>
        <w:t>在《征求意见稿》具体元数据项的提出和确定中，研究团队一方面参考了ISO21127:2023《信息与文献 文化遗产信息交换参考本体》、GB/T 25100—2010《信息与文献 都柏林核心元数据元素集》、WW/T 0063—2015《石质文物保护工程勘察规范》等相关标准，另一方面基于云冈研究院等单位在石窟寺三维数字化采集与加工方面的实践经验修改并细化数据约束。主要起草人在研制过程中听取了大量的意见建议，经过多次修订，完成了目前的《征求意见稿》。各起草人的主要工作如下：</w:t>
      </w:r>
    </w:p>
    <w:p w14:paraId="4F4D44B2">
      <w:pPr>
        <w:ind w:firstLine="480" w:firstLineChars="200"/>
        <w:rPr>
          <w:rFonts w:hint="default" w:ascii="宋体" w:hAnsi="宋体" w:eastAsia="宋体" w:cs="宋体"/>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329"/>
        <w:gridCol w:w="1715"/>
        <w:gridCol w:w="2504"/>
        <w:gridCol w:w="2998"/>
      </w:tblGrid>
      <w:tr w14:paraId="3910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329" w:type="dxa"/>
            <w:shd w:val="clear" w:color="auto" w:fill="FFFFFF"/>
            <w:tcMar>
              <w:top w:w="150" w:type="dxa"/>
              <w:left w:w="0" w:type="dxa"/>
              <w:bottom w:w="150" w:type="dxa"/>
              <w:right w:w="240" w:type="dxa"/>
            </w:tcMar>
            <w:vAlign w:val="center"/>
          </w:tcPr>
          <w:p w14:paraId="3CBF523E">
            <w:pPr>
              <w:jc w:val="center"/>
              <w:rPr>
                <w:rFonts w:hint="eastAsia" w:ascii="宋体" w:hAnsi="宋体" w:eastAsia="宋体" w:cs="宋体"/>
                <w:sz w:val="24"/>
                <w:szCs w:val="24"/>
              </w:rPr>
            </w:pPr>
            <w:r>
              <w:rPr>
                <w:rFonts w:hint="default" w:ascii="宋体" w:hAnsi="宋体" w:eastAsia="宋体" w:cs="宋体"/>
                <w:sz w:val="24"/>
                <w:szCs w:val="24"/>
                <w:lang w:val="en-US" w:eastAsia="zh-CN"/>
              </w:rPr>
              <w:t>姓名</w:t>
            </w:r>
          </w:p>
        </w:tc>
        <w:tc>
          <w:tcPr>
            <w:tcW w:w="1715" w:type="dxa"/>
            <w:shd w:val="clear" w:color="auto" w:fill="FFFFFF"/>
            <w:tcMar>
              <w:top w:w="150" w:type="dxa"/>
              <w:left w:w="240" w:type="dxa"/>
              <w:bottom w:w="150" w:type="dxa"/>
              <w:right w:w="240" w:type="dxa"/>
            </w:tcMar>
            <w:vAlign w:val="center"/>
          </w:tcPr>
          <w:p w14:paraId="1E0B79D5">
            <w:pPr>
              <w:rPr>
                <w:rFonts w:hint="default" w:ascii="宋体" w:hAnsi="宋体" w:eastAsia="宋体" w:cs="宋体"/>
                <w:sz w:val="24"/>
                <w:szCs w:val="24"/>
              </w:rPr>
            </w:pPr>
            <w:r>
              <w:rPr>
                <w:rFonts w:hint="default" w:ascii="宋体" w:hAnsi="宋体" w:eastAsia="宋体" w:cs="宋体"/>
                <w:sz w:val="24"/>
                <w:szCs w:val="24"/>
                <w:lang w:val="en-US" w:eastAsia="zh-CN"/>
              </w:rPr>
              <w:t>工作单位</w:t>
            </w:r>
          </w:p>
        </w:tc>
        <w:tc>
          <w:tcPr>
            <w:tcW w:w="0" w:type="auto"/>
            <w:shd w:val="clear" w:color="auto" w:fill="FFFFFF"/>
            <w:tcMar>
              <w:top w:w="150" w:type="dxa"/>
              <w:left w:w="240" w:type="dxa"/>
              <w:bottom w:w="150" w:type="dxa"/>
              <w:right w:w="240" w:type="dxa"/>
            </w:tcMar>
            <w:vAlign w:val="center"/>
          </w:tcPr>
          <w:p w14:paraId="5C2945F8">
            <w:pPr>
              <w:ind w:firstLine="480" w:firstLineChars="200"/>
              <w:rPr>
                <w:rFonts w:hint="default" w:ascii="宋体" w:hAnsi="宋体" w:eastAsia="宋体" w:cs="宋体"/>
                <w:sz w:val="24"/>
                <w:szCs w:val="24"/>
              </w:rPr>
            </w:pPr>
            <w:r>
              <w:rPr>
                <w:rFonts w:hint="default" w:ascii="宋体" w:hAnsi="宋体" w:eastAsia="宋体" w:cs="宋体"/>
                <w:sz w:val="24"/>
                <w:szCs w:val="24"/>
                <w:lang w:val="en-US" w:eastAsia="zh-CN"/>
              </w:rPr>
              <w:t>职称/职务</w:t>
            </w:r>
          </w:p>
        </w:tc>
        <w:tc>
          <w:tcPr>
            <w:tcW w:w="0" w:type="auto"/>
            <w:shd w:val="clear" w:color="auto" w:fill="FFFFFF"/>
            <w:tcMar>
              <w:top w:w="150" w:type="dxa"/>
              <w:left w:w="240" w:type="dxa"/>
              <w:bottom w:w="150" w:type="dxa"/>
              <w:right w:w="240" w:type="dxa"/>
            </w:tcMar>
            <w:vAlign w:val="center"/>
          </w:tcPr>
          <w:p w14:paraId="576680A9">
            <w:pPr>
              <w:ind w:firstLine="480" w:firstLineChars="200"/>
              <w:rPr>
                <w:rFonts w:hint="default" w:ascii="宋体" w:hAnsi="宋体" w:eastAsia="宋体" w:cs="宋体"/>
                <w:sz w:val="24"/>
                <w:szCs w:val="24"/>
              </w:rPr>
            </w:pPr>
            <w:r>
              <w:rPr>
                <w:rFonts w:hint="default" w:ascii="宋体" w:hAnsi="宋体" w:eastAsia="宋体" w:cs="宋体"/>
                <w:sz w:val="24"/>
                <w:szCs w:val="24"/>
                <w:lang w:val="en-US" w:eastAsia="zh-CN"/>
              </w:rPr>
              <w:t>承担任务</w:t>
            </w:r>
          </w:p>
        </w:tc>
      </w:tr>
      <w:tr w14:paraId="2F10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72B87F99">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宁波</w:t>
            </w:r>
          </w:p>
        </w:tc>
        <w:tc>
          <w:tcPr>
            <w:tcW w:w="1715" w:type="dxa"/>
            <w:shd w:val="clear" w:color="auto" w:fill="FFFFFF"/>
            <w:tcMar>
              <w:top w:w="150" w:type="dxa"/>
              <w:left w:w="240" w:type="dxa"/>
              <w:bottom w:w="150" w:type="dxa"/>
              <w:right w:w="240" w:type="dxa"/>
            </w:tcMar>
            <w:vAlign w:val="center"/>
          </w:tcPr>
          <w:p w14:paraId="4F3E8EA0">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云冈研究院</w:t>
            </w:r>
          </w:p>
        </w:tc>
        <w:tc>
          <w:tcPr>
            <w:tcW w:w="2504" w:type="dxa"/>
            <w:shd w:val="clear" w:color="auto" w:fill="FFFFFF"/>
            <w:tcMar>
              <w:top w:w="150" w:type="dxa"/>
              <w:left w:w="240" w:type="dxa"/>
              <w:bottom w:w="150" w:type="dxa"/>
              <w:right w:w="240" w:type="dxa"/>
            </w:tcMar>
            <w:vAlign w:val="center"/>
          </w:tcPr>
          <w:p w14:paraId="3810A52F">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副研究</w:t>
            </w:r>
            <w:r>
              <w:rPr>
                <w:rFonts w:hint="eastAsia" w:ascii="宋体" w:hAnsi="宋体" w:eastAsia="宋体" w:cs="宋体"/>
                <w:kern w:val="0"/>
                <w:sz w:val="24"/>
                <w:szCs w:val="24"/>
                <w:lang w:val="en-US" w:eastAsia="zh-CN" w:bidi="ar"/>
              </w:rPr>
              <w:t>馆</w:t>
            </w:r>
            <w:r>
              <w:rPr>
                <w:rFonts w:ascii="宋体" w:hAnsi="宋体" w:eastAsia="宋体" w:cs="宋体"/>
                <w:kern w:val="0"/>
                <w:sz w:val="24"/>
                <w:szCs w:val="24"/>
                <w:lang w:val="en-US" w:eastAsia="zh-CN" w:bidi="ar"/>
              </w:rPr>
              <w:t>员/</w:t>
            </w:r>
            <w:r>
              <w:rPr>
                <w:rFonts w:hint="eastAsia" w:ascii="宋体" w:hAnsi="宋体" w:eastAsia="宋体" w:cs="宋体"/>
                <w:kern w:val="0"/>
                <w:sz w:val="24"/>
                <w:szCs w:val="24"/>
                <w:lang w:val="en-US" w:eastAsia="zh-CN" w:bidi="ar"/>
              </w:rPr>
              <w:t>云冈研究院副院长、</w:t>
            </w:r>
            <w:r>
              <w:rPr>
                <w:rFonts w:ascii="宋体" w:hAnsi="宋体" w:eastAsia="宋体" w:cs="宋体"/>
                <w:kern w:val="0"/>
                <w:sz w:val="24"/>
                <w:szCs w:val="24"/>
                <w:lang w:val="en-US" w:eastAsia="zh-CN" w:bidi="ar"/>
              </w:rPr>
              <w:t>数字化保护中心主任</w:t>
            </w:r>
          </w:p>
        </w:tc>
        <w:tc>
          <w:tcPr>
            <w:tcW w:w="0" w:type="auto"/>
            <w:shd w:val="clear" w:color="auto" w:fill="FFFFFF"/>
            <w:tcMar>
              <w:top w:w="150" w:type="dxa"/>
              <w:left w:w="240" w:type="dxa"/>
              <w:bottom w:w="150" w:type="dxa"/>
              <w:right w:w="0" w:type="dxa"/>
            </w:tcMar>
            <w:vAlign w:val="center"/>
          </w:tcPr>
          <w:p w14:paraId="1C32F379">
            <w:pPr>
              <w:rPr>
                <w:rFonts w:hint="default" w:ascii="宋体" w:hAnsi="宋体" w:eastAsia="宋体" w:cs="宋体"/>
                <w:sz w:val="24"/>
                <w:szCs w:val="24"/>
              </w:rPr>
            </w:pPr>
            <w:r>
              <w:rPr>
                <w:rFonts w:hint="default" w:ascii="宋体" w:hAnsi="宋体" w:eastAsia="宋体" w:cs="宋体"/>
                <w:sz w:val="24"/>
                <w:szCs w:val="24"/>
                <w:lang w:val="en-US" w:eastAsia="zh-CN"/>
              </w:rPr>
              <w:t>总体规划、主体框架和主要内容的制定</w:t>
            </w:r>
          </w:p>
        </w:tc>
      </w:tr>
      <w:tr w14:paraId="78A5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2855054B">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谷立鹏</w:t>
            </w:r>
          </w:p>
        </w:tc>
        <w:tc>
          <w:tcPr>
            <w:tcW w:w="1715" w:type="dxa"/>
            <w:shd w:val="clear" w:color="auto" w:fill="FFFFFF"/>
            <w:tcMar>
              <w:top w:w="150" w:type="dxa"/>
              <w:left w:w="240" w:type="dxa"/>
              <w:bottom w:w="150" w:type="dxa"/>
              <w:right w:w="240" w:type="dxa"/>
            </w:tcMar>
            <w:vAlign w:val="center"/>
          </w:tcPr>
          <w:p w14:paraId="6410D143">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云冈研究院</w:t>
            </w:r>
          </w:p>
        </w:tc>
        <w:tc>
          <w:tcPr>
            <w:tcW w:w="2504" w:type="dxa"/>
            <w:shd w:val="clear" w:color="auto" w:fill="FFFFFF"/>
            <w:tcMar>
              <w:top w:w="150" w:type="dxa"/>
              <w:left w:w="240" w:type="dxa"/>
              <w:bottom w:w="150" w:type="dxa"/>
              <w:right w:w="240" w:type="dxa"/>
            </w:tcMar>
            <w:vAlign w:val="center"/>
          </w:tcPr>
          <w:p w14:paraId="14617B61">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馆员/数字化保护中心科员</w:t>
            </w:r>
          </w:p>
        </w:tc>
        <w:tc>
          <w:tcPr>
            <w:tcW w:w="0" w:type="auto"/>
            <w:shd w:val="clear" w:color="auto" w:fill="FFFFFF"/>
            <w:tcMar>
              <w:top w:w="150" w:type="dxa"/>
              <w:left w:w="240" w:type="dxa"/>
              <w:bottom w:w="150" w:type="dxa"/>
              <w:right w:w="0" w:type="dxa"/>
            </w:tcMar>
            <w:vAlign w:val="center"/>
          </w:tcPr>
          <w:p w14:paraId="6BCA68EB">
            <w:pPr>
              <w:rPr>
                <w:rFonts w:hint="default" w:ascii="宋体" w:hAnsi="宋体" w:eastAsia="宋体" w:cs="宋体"/>
                <w:sz w:val="24"/>
                <w:szCs w:val="24"/>
              </w:rPr>
            </w:pPr>
            <w:r>
              <w:rPr>
                <w:rFonts w:hint="default" w:ascii="宋体" w:hAnsi="宋体" w:eastAsia="宋体" w:cs="宋体"/>
                <w:sz w:val="24"/>
                <w:szCs w:val="24"/>
                <w:lang w:val="en-US" w:eastAsia="zh-CN"/>
              </w:rPr>
              <w:t>标准研制，协调跨学科资源，解决研制难题</w:t>
            </w:r>
          </w:p>
        </w:tc>
      </w:tr>
      <w:tr w14:paraId="2067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66F94203">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吴佳丽</w:t>
            </w:r>
          </w:p>
        </w:tc>
        <w:tc>
          <w:tcPr>
            <w:tcW w:w="1715" w:type="dxa"/>
            <w:shd w:val="clear" w:color="auto" w:fill="FFFFFF"/>
            <w:tcMar>
              <w:top w:w="150" w:type="dxa"/>
              <w:left w:w="240" w:type="dxa"/>
              <w:bottom w:w="150" w:type="dxa"/>
              <w:right w:w="240" w:type="dxa"/>
            </w:tcMar>
            <w:vAlign w:val="center"/>
          </w:tcPr>
          <w:p w14:paraId="0781436C">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云冈研究院</w:t>
            </w:r>
          </w:p>
        </w:tc>
        <w:tc>
          <w:tcPr>
            <w:tcW w:w="2504" w:type="dxa"/>
            <w:shd w:val="clear" w:color="auto" w:fill="FFFFFF"/>
            <w:tcMar>
              <w:top w:w="150" w:type="dxa"/>
              <w:left w:w="240" w:type="dxa"/>
              <w:bottom w:w="150" w:type="dxa"/>
              <w:right w:w="240" w:type="dxa"/>
            </w:tcMar>
            <w:vAlign w:val="center"/>
          </w:tcPr>
          <w:p w14:paraId="5CA41CE0">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助理</w:t>
            </w:r>
            <w:r>
              <w:rPr>
                <w:rFonts w:ascii="宋体" w:hAnsi="宋体" w:eastAsia="宋体" w:cs="宋体"/>
                <w:kern w:val="0"/>
                <w:sz w:val="24"/>
                <w:szCs w:val="24"/>
                <w:lang w:val="en-US" w:eastAsia="zh-CN" w:bidi="ar"/>
              </w:rPr>
              <w:t>馆员/数字化保护中心科员</w:t>
            </w:r>
          </w:p>
        </w:tc>
        <w:tc>
          <w:tcPr>
            <w:tcW w:w="0" w:type="auto"/>
            <w:shd w:val="clear" w:color="auto" w:fill="FFFFFF"/>
            <w:tcMar>
              <w:top w:w="150" w:type="dxa"/>
              <w:left w:w="240" w:type="dxa"/>
              <w:bottom w:w="150" w:type="dxa"/>
              <w:right w:w="0" w:type="dxa"/>
            </w:tcMar>
            <w:vAlign w:val="center"/>
          </w:tcPr>
          <w:p w14:paraId="029157EF">
            <w:pPr>
              <w:rPr>
                <w:rFonts w:hint="default" w:ascii="宋体" w:hAnsi="宋体" w:eastAsia="宋体" w:cs="宋体"/>
                <w:sz w:val="24"/>
                <w:szCs w:val="24"/>
              </w:rPr>
            </w:pPr>
            <w:r>
              <w:rPr>
                <w:rFonts w:hint="default" w:ascii="宋体" w:hAnsi="宋体" w:eastAsia="宋体" w:cs="宋体"/>
                <w:sz w:val="24"/>
                <w:szCs w:val="24"/>
                <w:lang w:val="en-US" w:eastAsia="zh-CN"/>
              </w:rPr>
              <w:t>标准内容的制修订和撰写</w:t>
            </w:r>
          </w:p>
        </w:tc>
      </w:tr>
      <w:tr w14:paraId="494C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784A9785">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张皓男</w:t>
            </w:r>
          </w:p>
        </w:tc>
        <w:tc>
          <w:tcPr>
            <w:tcW w:w="1715" w:type="dxa"/>
            <w:shd w:val="clear" w:color="auto" w:fill="FFFFFF"/>
            <w:tcMar>
              <w:top w:w="150" w:type="dxa"/>
              <w:left w:w="240" w:type="dxa"/>
              <w:bottom w:w="150" w:type="dxa"/>
              <w:right w:w="240" w:type="dxa"/>
            </w:tcMar>
            <w:vAlign w:val="center"/>
          </w:tcPr>
          <w:p w14:paraId="5DFC42EB">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云冈研究院</w:t>
            </w:r>
          </w:p>
        </w:tc>
        <w:tc>
          <w:tcPr>
            <w:tcW w:w="2504" w:type="dxa"/>
            <w:shd w:val="clear" w:color="auto" w:fill="FFFFFF"/>
            <w:tcMar>
              <w:top w:w="150" w:type="dxa"/>
              <w:left w:w="240" w:type="dxa"/>
              <w:bottom w:w="150" w:type="dxa"/>
              <w:right w:w="240" w:type="dxa"/>
            </w:tcMar>
            <w:vAlign w:val="center"/>
          </w:tcPr>
          <w:p w14:paraId="6154F402">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助理</w:t>
            </w:r>
            <w:r>
              <w:rPr>
                <w:rFonts w:ascii="宋体" w:hAnsi="宋体" w:eastAsia="宋体" w:cs="宋体"/>
                <w:kern w:val="0"/>
                <w:sz w:val="24"/>
                <w:szCs w:val="24"/>
                <w:lang w:val="en-US" w:eastAsia="zh-CN" w:bidi="ar"/>
              </w:rPr>
              <w:t>馆员/数字化保护中心科员</w:t>
            </w:r>
          </w:p>
        </w:tc>
        <w:tc>
          <w:tcPr>
            <w:tcW w:w="0" w:type="auto"/>
            <w:shd w:val="clear" w:color="auto" w:fill="FFFFFF"/>
            <w:tcMar>
              <w:top w:w="150" w:type="dxa"/>
              <w:left w:w="240" w:type="dxa"/>
              <w:bottom w:w="150" w:type="dxa"/>
              <w:right w:w="0" w:type="dxa"/>
            </w:tcMar>
            <w:vAlign w:val="center"/>
          </w:tcPr>
          <w:p w14:paraId="69A7DAC2">
            <w:pPr>
              <w:rPr>
                <w:rFonts w:hint="default" w:ascii="宋体" w:hAnsi="宋体" w:eastAsia="宋体" w:cs="宋体"/>
                <w:sz w:val="24"/>
                <w:szCs w:val="24"/>
              </w:rPr>
            </w:pPr>
            <w:r>
              <w:rPr>
                <w:rFonts w:hint="default" w:ascii="宋体" w:hAnsi="宋体" w:eastAsia="宋体" w:cs="宋体"/>
                <w:sz w:val="24"/>
                <w:szCs w:val="24"/>
                <w:lang w:val="en-US" w:eastAsia="zh-CN"/>
              </w:rPr>
              <w:t>标准前期调研、研究资源对接</w:t>
            </w:r>
          </w:p>
        </w:tc>
      </w:tr>
      <w:tr w14:paraId="4690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0AB54ACE">
            <w:pPr>
              <w:jc w:val="center"/>
              <w:rPr>
                <w:rFonts w:hint="default" w:ascii="宋体" w:hAnsi="宋体" w:eastAsia="宋体" w:cs="宋体"/>
                <w:sz w:val="24"/>
                <w:szCs w:val="24"/>
              </w:rPr>
            </w:pPr>
            <w:r>
              <w:rPr>
                <w:rFonts w:hint="default" w:ascii="宋体" w:hAnsi="宋体" w:eastAsia="宋体" w:cs="宋体"/>
                <w:sz w:val="24"/>
                <w:szCs w:val="24"/>
                <w:lang w:val="en-US" w:eastAsia="zh-CN"/>
              </w:rPr>
              <w:t>潘鹏</w:t>
            </w:r>
          </w:p>
        </w:tc>
        <w:tc>
          <w:tcPr>
            <w:tcW w:w="1715" w:type="dxa"/>
            <w:shd w:val="clear" w:color="auto" w:fill="FFFFFF"/>
            <w:tcMar>
              <w:top w:w="150" w:type="dxa"/>
              <w:left w:w="240" w:type="dxa"/>
              <w:bottom w:w="150" w:type="dxa"/>
              <w:right w:w="240" w:type="dxa"/>
            </w:tcMar>
            <w:vAlign w:val="center"/>
          </w:tcPr>
          <w:p w14:paraId="673D2527">
            <w:pPr>
              <w:rPr>
                <w:rFonts w:hint="default" w:ascii="宋体" w:hAnsi="宋体" w:eastAsia="宋体" w:cs="宋体"/>
                <w:sz w:val="24"/>
                <w:szCs w:val="24"/>
              </w:rPr>
            </w:pPr>
            <w:r>
              <w:rPr>
                <w:rFonts w:hint="default" w:ascii="宋体" w:hAnsi="宋体" w:eastAsia="宋体" w:cs="宋体"/>
                <w:sz w:val="24"/>
                <w:szCs w:val="24"/>
                <w:lang w:val="en-US" w:eastAsia="zh-CN"/>
              </w:rPr>
              <w:t>大同云冈数字科技有限公司</w:t>
            </w:r>
          </w:p>
        </w:tc>
        <w:tc>
          <w:tcPr>
            <w:tcW w:w="0" w:type="auto"/>
            <w:shd w:val="clear" w:color="auto" w:fill="FFFFFF"/>
            <w:tcMar>
              <w:top w:w="150" w:type="dxa"/>
              <w:left w:w="240" w:type="dxa"/>
              <w:bottom w:w="150" w:type="dxa"/>
              <w:right w:w="240" w:type="dxa"/>
            </w:tcMar>
            <w:vAlign w:val="center"/>
          </w:tcPr>
          <w:p w14:paraId="23C66EFB">
            <w:pPr>
              <w:rPr>
                <w:rFonts w:hint="default" w:ascii="宋体" w:hAnsi="宋体" w:eastAsia="宋体" w:cs="宋体"/>
                <w:sz w:val="24"/>
                <w:szCs w:val="24"/>
              </w:rPr>
            </w:pPr>
            <w:r>
              <w:rPr>
                <w:rFonts w:ascii="宋体" w:hAnsi="宋体" w:eastAsia="宋体" w:cs="宋体"/>
                <w:kern w:val="0"/>
                <w:sz w:val="24"/>
                <w:szCs w:val="24"/>
                <w:lang w:val="en-US" w:eastAsia="zh-CN" w:bidi="ar"/>
              </w:rPr>
              <w:t>三维建模工程师</w:t>
            </w:r>
          </w:p>
        </w:tc>
        <w:tc>
          <w:tcPr>
            <w:tcW w:w="0" w:type="auto"/>
            <w:shd w:val="clear" w:color="auto" w:fill="FFFFFF"/>
            <w:tcMar>
              <w:top w:w="150" w:type="dxa"/>
              <w:left w:w="240" w:type="dxa"/>
              <w:bottom w:w="150" w:type="dxa"/>
              <w:right w:w="0" w:type="dxa"/>
            </w:tcMar>
            <w:vAlign w:val="center"/>
          </w:tcPr>
          <w:p w14:paraId="46475ECA">
            <w:pPr>
              <w:rPr>
                <w:rFonts w:hint="default" w:ascii="宋体" w:hAnsi="宋体" w:eastAsia="宋体" w:cs="宋体"/>
                <w:sz w:val="24"/>
                <w:szCs w:val="24"/>
              </w:rPr>
            </w:pPr>
            <w:r>
              <w:rPr>
                <w:rFonts w:hint="default" w:ascii="宋体" w:hAnsi="宋体" w:eastAsia="宋体" w:cs="宋体"/>
                <w:sz w:val="24"/>
                <w:szCs w:val="24"/>
                <w:lang w:val="en-US" w:eastAsia="zh-CN"/>
              </w:rPr>
              <w:t>标准文本修订及技术指导</w:t>
            </w:r>
          </w:p>
        </w:tc>
      </w:tr>
      <w:tr w14:paraId="50C4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57652313">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王家鑫</w:t>
            </w:r>
          </w:p>
        </w:tc>
        <w:tc>
          <w:tcPr>
            <w:tcW w:w="1715" w:type="dxa"/>
            <w:shd w:val="clear" w:color="auto" w:fill="FFFFFF"/>
            <w:tcMar>
              <w:top w:w="150" w:type="dxa"/>
              <w:left w:w="240" w:type="dxa"/>
              <w:bottom w:w="150" w:type="dxa"/>
              <w:right w:w="240" w:type="dxa"/>
            </w:tcMar>
            <w:vAlign w:val="center"/>
          </w:tcPr>
          <w:p w14:paraId="277A5A35">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大同云冈数字科技有限公司</w:t>
            </w:r>
          </w:p>
        </w:tc>
        <w:tc>
          <w:tcPr>
            <w:tcW w:w="2504" w:type="dxa"/>
            <w:shd w:val="clear" w:color="auto" w:fill="FFFFFF"/>
            <w:tcMar>
              <w:top w:w="150" w:type="dxa"/>
              <w:left w:w="240" w:type="dxa"/>
              <w:bottom w:w="150" w:type="dxa"/>
              <w:right w:w="240" w:type="dxa"/>
            </w:tcMar>
            <w:vAlign w:val="center"/>
          </w:tcPr>
          <w:p w14:paraId="4EFB6F73">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三维建模工程师</w:t>
            </w:r>
          </w:p>
        </w:tc>
        <w:tc>
          <w:tcPr>
            <w:tcW w:w="0" w:type="auto"/>
            <w:shd w:val="clear" w:color="auto" w:fill="FFFFFF"/>
            <w:tcMar>
              <w:top w:w="150" w:type="dxa"/>
              <w:left w:w="240" w:type="dxa"/>
              <w:bottom w:w="150" w:type="dxa"/>
              <w:right w:w="0" w:type="dxa"/>
            </w:tcMar>
            <w:vAlign w:val="center"/>
          </w:tcPr>
          <w:p w14:paraId="0FA49B76">
            <w:pPr>
              <w:rPr>
                <w:rFonts w:hint="default" w:ascii="宋体" w:hAnsi="宋体" w:eastAsia="宋体" w:cs="宋体"/>
                <w:sz w:val="24"/>
                <w:szCs w:val="24"/>
              </w:rPr>
            </w:pPr>
            <w:r>
              <w:rPr>
                <w:rFonts w:hint="default" w:ascii="宋体" w:hAnsi="宋体" w:eastAsia="宋体" w:cs="宋体"/>
                <w:sz w:val="24"/>
                <w:szCs w:val="24"/>
                <w:lang w:val="en-US" w:eastAsia="zh-CN"/>
              </w:rPr>
              <w:t>标准文本修订及技术指导</w:t>
            </w:r>
          </w:p>
        </w:tc>
      </w:tr>
      <w:tr w14:paraId="2E15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465CF973">
            <w:pPr>
              <w:jc w:val="center"/>
              <w:rPr>
                <w:rFonts w:hint="default" w:ascii="宋体" w:hAnsi="宋体" w:eastAsia="宋体" w:cs="宋体"/>
                <w:sz w:val="24"/>
                <w:szCs w:val="24"/>
              </w:rPr>
            </w:pPr>
            <w:r>
              <w:rPr>
                <w:rFonts w:hint="default" w:ascii="宋体" w:hAnsi="宋体" w:eastAsia="宋体" w:cs="宋体"/>
                <w:sz w:val="24"/>
                <w:szCs w:val="24"/>
                <w:lang w:val="en-US" w:eastAsia="zh-CN"/>
              </w:rPr>
              <w:t>尚美斌</w:t>
            </w:r>
          </w:p>
        </w:tc>
        <w:tc>
          <w:tcPr>
            <w:tcW w:w="1715" w:type="dxa"/>
            <w:shd w:val="clear" w:color="auto" w:fill="FFFFFF"/>
            <w:tcMar>
              <w:top w:w="150" w:type="dxa"/>
              <w:left w:w="240" w:type="dxa"/>
              <w:bottom w:w="150" w:type="dxa"/>
              <w:right w:w="240" w:type="dxa"/>
            </w:tcMar>
            <w:vAlign w:val="center"/>
          </w:tcPr>
          <w:p w14:paraId="0E79964B">
            <w:pPr>
              <w:rPr>
                <w:rFonts w:hint="default" w:ascii="宋体" w:hAnsi="宋体" w:eastAsia="宋体" w:cs="宋体"/>
                <w:sz w:val="24"/>
                <w:szCs w:val="24"/>
              </w:rPr>
            </w:pPr>
            <w:r>
              <w:rPr>
                <w:rFonts w:hint="default" w:ascii="宋体" w:hAnsi="宋体" w:eastAsia="宋体" w:cs="宋体"/>
                <w:sz w:val="24"/>
                <w:szCs w:val="24"/>
                <w:lang w:val="en-US" w:eastAsia="zh-CN"/>
              </w:rPr>
              <w:t>大同云冈数字科技有限公司</w:t>
            </w:r>
          </w:p>
        </w:tc>
        <w:tc>
          <w:tcPr>
            <w:tcW w:w="0" w:type="auto"/>
            <w:shd w:val="clear" w:color="auto" w:fill="FFFFFF"/>
            <w:tcMar>
              <w:top w:w="150" w:type="dxa"/>
              <w:left w:w="240" w:type="dxa"/>
              <w:bottom w:w="150" w:type="dxa"/>
              <w:right w:w="240" w:type="dxa"/>
            </w:tcMar>
            <w:vAlign w:val="center"/>
          </w:tcPr>
          <w:p w14:paraId="2A198ACE">
            <w:pPr>
              <w:rPr>
                <w:rFonts w:hint="default" w:ascii="宋体" w:hAnsi="宋体" w:eastAsia="宋体" w:cs="宋体"/>
                <w:sz w:val="24"/>
                <w:szCs w:val="24"/>
              </w:rPr>
            </w:pPr>
            <w:r>
              <w:rPr>
                <w:rFonts w:ascii="宋体" w:hAnsi="宋体" w:eastAsia="宋体" w:cs="宋体"/>
                <w:kern w:val="0"/>
                <w:sz w:val="24"/>
                <w:szCs w:val="24"/>
                <w:lang w:val="en-US" w:eastAsia="zh-CN" w:bidi="ar"/>
              </w:rPr>
              <w:t>三维建模工程师</w:t>
            </w:r>
          </w:p>
        </w:tc>
        <w:tc>
          <w:tcPr>
            <w:tcW w:w="0" w:type="auto"/>
            <w:shd w:val="clear" w:color="auto" w:fill="FFFFFF"/>
            <w:tcMar>
              <w:top w:w="150" w:type="dxa"/>
              <w:left w:w="240" w:type="dxa"/>
              <w:bottom w:w="150" w:type="dxa"/>
              <w:right w:w="0" w:type="dxa"/>
            </w:tcMar>
            <w:vAlign w:val="center"/>
          </w:tcPr>
          <w:p w14:paraId="24E8C3A5">
            <w:pPr>
              <w:rPr>
                <w:rFonts w:hint="default" w:ascii="宋体" w:hAnsi="宋体" w:eastAsia="宋体" w:cs="宋体"/>
                <w:sz w:val="24"/>
                <w:szCs w:val="24"/>
              </w:rPr>
            </w:pPr>
            <w:r>
              <w:rPr>
                <w:rFonts w:hint="default" w:ascii="宋体" w:hAnsi="宋体" w:eastAsia="宋体" w:cs="宋体"/>
                <w:sz w:val="24"/>
                <w:szCs w:val="24"/>
                <w:lang w:val="en-US" w:eastAsia="zh-CN"/>
              </w:rPr>
              <w:t>标准前期调研</w:t>
            </w:r>
          </w:p>
        </w:tc>
      </w:tr>
      <w:tr w14:paraId="1376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58A5C959">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李华飙</w:t>
            </w:r>
          </w:p>
        </w:tc>
        <w:tc>
          <w:tcPr>
            <w:tcW w:w="1715" w:type="dxa"/>
            <w:shd w:val="clear" w:color="auto" w:fill="FFFFFF"/>
            <w:tcMar>
              <w:top w:w="150" w:type="dxa"/>
              <w:left w:w="240" w:type="dxa"/>
              <w:bottom w:w="150" w:type="dxa"/>
              <w:right w:w="240" w:type="dxa"/>
            </w:tcMar>
            <w:vAlign w:val="center"/>
          </w:tcPr>
          <w:p w14:paraId="2FE0080C">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中国国家博物馆</w:t>
            </w:r>
          </w:p>
        </w:tc>
        <w:tc>
          <w:tcPr>
            <w:tcW w:w="2504" w:type="dxa"/>
            <w:shd w:val="clear" w:color="auto" w:fill="FFFFFF"/>
            <w:tcMar>
              <w:top w:w="150" w:type="dxa"/>
              <w:left w:w="240" w:type="dxa"/>
              <w:bottom w:w="150" w:type="dxa"/>
              <w:right w:w="240" w:type="dxa"/>
            </w:tcMar>
            <w:vAlign w:val="center"/>
          </w:tcPr>
          <w:p w14:paraId="697018D0">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正研究员/处长</w:t>
            </w:r>
          </w:p>
        </w:tc>
        <w:tc>
          <w:tcPr>
            <w:tcW w:w="0" w:type="auto"/>
            <w:shd w:val="clear" w:color="auto" w:fill="FFFFFF"/>
            <w:tcMar>
              <w:top w:w="150" w:type="dxa"/>
              <w:left w:w="240" w:type="dxa"/>
              <w:bottom w:w="150" w:type="dxa"/>
              <w:right w:w="0" w:type="dxa"/>
            </w:tcMar>
            <w:vAlign w:val="center"/>
          </w:tcPr>
          <w:p w14:paraId="15EA0E85">
            <w:pPr>
              <w:rPr>
                <w:rFonts w:hint="default" w:ascii="宋体" w:hAnsi="宋体" w:eastAsia="宋体" w:cs="宋体"/>
                <w:sz w:val="24"/>
                <w:szCs w:val="24"/>
              </w:rPr>
            </w:pPr>
            <w:r>
              <w:rPr>
                <w:rFonts w:hint="default" w:ascii="宋体" w:hAnsi="宋体" w:eastAsia="宋体" w:cs="宋体"/>
                <w:sz w:val="24"/>
                <w:szCs w:val="24"/>
                <w:lang w:val="en-US" w:eastAsia="zh-CN"/>
              </w:rPr>
              <w:t>标准研制，协调跨学科资源</w:t>
            </w:r>
          </w:p>
        </w:tc>
      </w:tr>
      <w:tr w14:paraId="7B68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64C26B9E">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刘芳</w:t>
            </w:r>
          </w:p>
        </w:tc>
        <w:tc>
          <w:tcPr>
            <w:tcW w:w="1715" w:type="dxa"/>
            <w:shd w:val="clear" w:color="auto" w:fill="FFFFFF"/>
            <w:tcMar>
              <w:top w:w="150" w:type="dxa"/>
              <w:left w:w="240" w:type="dxa"/>
              <w:bottom w:w="150" w:type="dxa"/>
              <w:right w:w="240" w:type="dxa"/>
            </w:tcMar>
            <w:vAlign w:val="center"/>
          </w:tcPr>
          <w:p w14:paraId="0DE19328">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湖南大学设计艺术学院</w:t>
            </w:r>
          </w:p>
        </w:tc>
        <w:tc>
          <w:tcPr>
            <w:tcW w:w="2504" w:type="dxa"/>
            <w:shd w:val="clear" w:color="auto" w:fill="FFFFFF"/>
            <w:tcMar>
              <w:top w:w="150" w:type="dxa"/>
              <w:left w:w="240" w:type="dxa"/>
              <w:bottom w:w="150" w:type="dxa"/>
              <w:right w:w="240" w:type="dxa"/>
            </w:tcMar>
            <w:vAlign w:val="center"/>
          </w:tcPr>
          <w:p w14:paraId="3915E6A7">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教授/重点实验室副主任</w:t>
            </w:r>
          </w:p>
        </w:tc>
        <w:tc>
          <w:tcPr>
            <w:tcW w:w="0" w:type="auto"/>
            <w:shd w:val="clear" w:color="auto" w:fill="FFFFFF"/>
            <w:tcMar>
              <w:top w:w="150" w:type="dxa"/>
              <w:left w:w="240" w:type="dxa"/>
              <w:bottom w:w="150" w:type="dxa"/>
              <w:right w:w="0" w:type="dxa"/>
            </w:tcMar>
            <w:vAlign w:val="center"/>
          </w:tcPr>
          <w:p w14:paraId="50A464C9">
            <w:pPr>
              <w:rPr>
                <w:rFonts w:hint="default" w:ascii="宋体" w:hAnsi="宋体" w:eastAsia="宋体" w:cs="宋体"/>
                <w:sz w:val="24"/>
                <w:szCs w:val="24"/>
              </w:rPr>
            </w:pPr>
            <w:r>
              <w:rPr>
                <w:rFonts w:hint="default" w:ascii="宋体" w:hAnsi="宋体" w:eastAsia="宋体" w:cs="宋体"/>
                <w:sz w:val="24"/>
                <w:szCs w:val="24"/>
                <w:lang w:val="en-US" w:eastAsia="zh-CN"/>
              </w:rPr>
              <w:t>标准研制及技术指导</w:t>
            </w:r>
          </w:p>
        </w:tc>
      </w:tr>
      <w:tr w14:paraId="74C1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05407718">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刁常宇</w:t>
            </w:r>
          </w:p>
        </w:tc>
        <w:tc>
          <w:tcPr>
            <w:tcW w:w="1715" w:type="dxa"/>
            <w:shd w:val="clear" w:color="auto" w:fill="FFFFFF"/>
            <w:tcMar>
              <w:top w:w="150" w:type="dxa"/>
              <w:left w:w="240" w:type="dxa"/>
              <w:bottom w:w="150" w:type="dxa"/>
              <w:right w:w="240" w:type="dxa"/>
            </w:tcMar>
            <w:vAlign w:val="center"/>
          </w:tcPr>
          <w:p w14:paraId="1BB72AC1">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浙江大学</w:t>
            </w:r>
          </w:p>
        </w:tc>
        <w:tc>
          <w:tcPr>
            <w:tcW w:w="2504" w:type="dxa"/>
            <w:shd w:val="clear" w:color="auto" w:fill="FFFFFF"/>
            <w:tcMar>
              <w:top w:w="150" w:type="dxa"/>
              <w:left w:w="240" w:type="dxa"/>
              <w:bottom w:w="150" w:type="dxa"/>
              <w:right w:w="240" w:type="dxa"/>
            </w:tcMar>
            <w:vAlign w:val="center"/>
          </w:tcPr>
          <w:p w14:paraId="74A6C240">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教授</w:t>
            </w:r>
          </w:p>
        </w:tc>
        <w:tc>
          <w:tcPr>
            <w:tcW w:w="0" w:type="auto"/>
            <w:shd w:val="clear" w:color="auto" w:fill="FFFFFF"/>
            <w:tcMar>
              <w:top w:w="150" w:type="dxa"/>
              <w:left w:w="240" w:type="dxa"/>
              <w:bottom w:w="150" w:type="dxa"/>
              <w:right w:w="0" w:type="dxa"/>
            </w:tcMar>
            <w:vAlign w:val="center"/>
          </w:tcPr>
          <w:p w14:paraId="7CB3D5FB">
            <w:pPr>
              <w:rPr>
                <w:rFonts w:hint="default" w:ascii="宋体" w:hAnsi="宋体" w:eastAsia="宋体" w:cs="宋体"/>
                <w:sz w:val="24"/>
                <w:szCs w:val="24"/>
              </w:rPr>
            </w:pPr>
            <w:r>
              <w:rPr>
                <w:rFonts w:hint="default" w:ascii="宋体" w:hAnsi="宋体" w:eastAsia="宋体" w:cs="宋体"/>
                <w:sz w:val="24"/>
                <w:szCs w:val="24"/>
                <w:lang w:val="en-US" w:eastAsia="zh-CN"/>
              </w:rPr>
              <w:t>标准前期调研、研究资源对接</w:t>
            </w:r>
          </w:p>
        </w:tc>
      </w:tr>
      <w:tr w14:paraId="447C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4FA2C014">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黄先锋</w:t>
            </w:r>
          </w:p>
        </w:tc>
        <w:tc>
          <w:tcPr>
            <w:tcW w:w="1715" w:type="dxa"/>
            <w:shd w:val="clear" w:color="auto" w:fill="FFFFFF"/>
            <w:tcMar>
              <w:top w:w="150" w:type="dxa"/>
              <w:left w:w="240" w:type="dxa"/>
              <w:bottom w:w="150" w:type="dxa"/>
              <w:right w:w="240" w:type="dxa"/>
            </w:tcMar>
            <w:vAlign w:val="center"/>
          </w:tcPr>
          <w:p w14:paraId="4C1EC841">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武汉大学</w:t>
            </w:r>
          </w:p>
        </w:tc>
        <w:tc>
          <w:tcPr>
            <w:tcW w:w="2504" w:type="dxa"/>
            <w:shd w:val="clear" w:color="auto" w:fill="FFFFFF"/>
            <w:tcMar>
              <w:top w:w="150" w:type="dxa"/>
              <w:left w:w="240" w:type="dxa"/>
              <w:bottom w:w="150" w:type="dxa"/>
              <w:right w:w="240" w:type="dxa"/>
            </w:tcMar>
            <w:vAlign w:val="center"/>
          </w:tcPr>
          <w:p w14:paraId="6D52D281">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教授</w:t>
            </w:r>
          </w:p>
        </w:tc>
        <w:tc>
          <w:tcPr>
            <w:tcW w:w="0" w:type="auto"/>
            <w:shd w:val="clear" w:color="auto" w:fill="FFFFFF"/>
            <w:tcMar>
              <w:top w:w="150" w:type="dxa"/>
              <w:left w:w="240" w:type="dxa"/>
              <w:bottom w:w="150" w:type="dxa"/>
              <w:right w:w="0" w:type="dxa"/>
            </w:tcMar>
            <w:vAlign w:val="center"/>
          </w:tcPr>
          <w:p w14:paraId="4181F2CD">
            <w:pPr>
              <w:rPr>
                <w:rFonts w:hint="default" w:ascii="宋体" w:hAnsi="宋体" w:eastAsia="宋体" w:cs="宋体"/>
                <w:sz w:val="24"/>
                <w:szCs w:val="24"/>
              </w:rPr>
            </w:pPr>
            <w:r>
              <w:rPr>
                <w:rFonts w:hint="default" w:ascii="宋体" w:hAnsi="宋体" w:eastAsia="宋体" w:cs="宋体"/>
                <w:sz w:val="24"/>
                <w:szCs w:val="24"/>
                <w:lang w:val="en-US" w:eastAsia="zh-CN"/>
              </w:rPr>
              <w:t>标准前期调研、研究资源对接</w:t>
            </w:r>
          </w:p>
        </w:tc>
      </w:tr>
      <w:tr w14:paraId="7645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329" w:type="dxa"/>
            <w:shd w:val="clear" w:color="auto" w:fill="FFFFFF"/>
            <w:tcMar>
              <w:top w:w="150" w:type="dxa"/>
              <w:left w:w="0" w:type="dxa"/>
              <w:bottom w:w="150" w:type="dxa"/>
              <w:right w:w="240" w:type="dxa"/>
            </w:tcMar>
            <w:vAlign w:val="center"/>
          </w:tcPr>
          <w:p w14:paraId="1FC4CB99">
            <w:pPr>
              <w:keepNext w:val="0"/>
              <w:keepLines w:val="0"/>
              <w:widowControl/>
              <w:suppressLineNumbers w:val="0"/>
              <w:jc w:val="center"/>
              <w:rPr>
                <w:rFonts w:hint="default" w:ascii="宋体" w:hAnsi="宋体" w:eastAsia="宋体" w:cs="宋体"/>
                <w:sz w:val="24"/>
                <w:szCs w:val="24"/>
              </w:rPr>
            </w:pPr>
            <w:r>
              <w:rPr>
                <w:rFonts w:ascii="宋体" w:hAnsi="宋体" w:eastAsia="宋体" w:cs="宋体"/>
                <w:kern w:val="0"/>
                <w:sz w:val="24"/>
                <w:szCs w:val="24"/>
                <w:lang w:val="en-US" w:eastAsia="zh-CN" w:bidi="ar"/>
              </w:rPr>
              <w:t>吴志群</w:t>
            </w:r>
          </w:p>
        </w:tc>
        <w:tc>
          <w:tcPr>
            <w:tcW w:w="1715" w:type="dxa"/>
            <w:shd w:val="clear" w:color="auto" w:fill="FFFFFF"/>
            <w:tcMar>
              <w:top w:w="150" w:type="dxa"/>
              <w:left w:w="240" w:type="dxa"/>
              <w:bottom w:w="150" w:type="dxa"/>
              <w:right w:w="240" w:type="dxa"/>
            </w:tcMar>
            <w:vAlign w:val="center"/>
          </w:tcPr>
          <w:p w14:paraId="0B62E050">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中国文物交流中心</w:t>
            </w:r>
          </w:p>
        </w:tc>
        <w:tc>
          <w:tcPr>
            <w:tcW w:w="2504" w:type="dxa"/>
            <w:shd w:val="clear" w:color="auto" w:fill="FFFFFF"/>
            <w:tcMar>
              <w:top w:w="150" w:type="dxa"/>
              <w:left w:w="240" w:type="dxa"/>
              <w:bottom w:w="150" w:type="dxa"/>
              <w:right w:w="240" w:type="dxa"/>
            </w:tcMar>
            <w:vAlign w:val="center"/>
          </w:tcPr>
          <w:p w14:paraId="4C67C6D0">
            <w:pPr>
              <w:keepNext w:val="0"/>
              <w:keepLines w:val="0"/>
              <w:widowControl/>
              <w:suppressLineNumbers w:val="0"/>
              <w:jc w:val="center"/>
              <w:rPr>
                <w:rFonts w:hint="default" w:ascii="宋体" w:hAnsi="宋体" w:eastAsia="宋体" w:cs="宋体"/>
                <w:sz w:val="24"/>
                <w:szCs w:val="24"/>
              </w:rPr>
            </w:pPr>
            <w:r>
              <w:rPr>
                <w:rFonts w:hint="eastAsia" w:ascii="宋体" w:hAnsi="宋体" w:eastAsia="宋体" w:cs="宋体"/>
                <w:kern w:val="0"/>
                <w:sz w:val="24"/>
                <w:szCs w:val="24"/>
                <w:lang w:val="en-US" w:eastAsia="zh-CN" w:bidi="ar"/>
              </w:rPr>
              <w:t>高级工程师</w:t>
            </w:r>
          </w:p>
        </w:tc>
        <w:tc>
          <w:tcPr>
            <w:tcW w:w="0" w:type="auto"/>
            <w:shd w:val="clear" w:color="auto" w:fill="FFFFFF"/>
            <w:tcMar>
              <w:top w:w="150" w:type="dxa"/>
              <w:left w:w="240" w:type="dxa"/>
              <w:bottom w:w="150" w:type="dxa"/>
              <w:right w:w="0" w:type="dxa"/>
            </w:tcMar>
            <w:vAlign w:val="center"/>
          </w:tcPr>
          <w:p w14:paraId="0E77B3B5">
            <w:pPr>
              <w:rPr>
                <w:rFonts w:hint="default" w:ascii="宋体" w:hAnsi="宋体" w:eastAsia="宋体" w:cs="宋体"/>
                <w:sz w:val="24"/>
                <w:szCs w:val="24"/>
              </w:rPr>
            </w:pPr>
            <w:r>
              <w:rPr>
                <w:rFonts w:hint="default" w:ascii="宋体" w:hAnsi="宋体" w:eastAsia="宋体" w:cs="宋体"/>
                <w:sz w:val="24"/>
                <w:szCs w:val="24"/>
                <w:lang w:val="en-US" w:eastAsia="zh-CN"/>
              </w:rPr>
              <w:t>标准前期调研、研究资源对接</w:t>
            </w:r>
          </w:p>
        </w:tc>
      </w:tr>
    </w:tbl>
    <w:p w14:paraId="799684AE">
      <w:pPr>
        <w:pStyle w:val="3"/>
        <w:keepNext w:val="0"/>
        <w:keepLines w:val="0"/>
        <w:widowControl/>
        <w:suppressLineNumbers w:val="0"/>
      </w:pPr>
      <w:r>
        <w:t>二、标准编制原则和确定主要内容的论据及解决的主要问题</w:t>
      </w:r>
    </w:p>
    <w:p w14:paraId="03926F6D">
      <w:pPr>
        <w:pStyle w:val="4"/>
        <w:keepNext w:val="0"/>
        <w:keepLines w:val="0"/>
        <w:widowControl/>
        <w:suppressLineNumbers w:val="0"/>
      </w:pPr>
      <w:r>
        <w:t>（一）标准编制原则</w:t>
      </w:r>
    </w:p>
    <w:p w14:paraId="279A52CF">
      <w:pPr>
        <w:ind w:firstLine="480" w:firstLineChars="200"/>
        <w:rPr>
          <w:rFonts w:hint="eastAsia" w:ascii="宋体" w:hAnsi="宋体" w:eastAsia="宋体" w:cs="宋体"/>
          <w:sz w:val="24"/>
          <w:szCs w:val="24"/>
        </w:rPr>
      </w:pPr>
      <w:r>
        <w:rPr>
          <w:rFonts w:hint="eastAsia" w:ascii="宋体" w:hAnsi="宋体" w:eastAsia="宋体" w:cs="宋体"/>
          <w:sz w:val="24"/>
          <w:szCs w:val="24"/>
        </w:rPr>
        <w:t>1、严格遵循标准化工作导则要求原则</w:t>
      </w:r>
    </w:p>
    <w:p w14:paraId="1B616AA7">
      <w:pPr>
        <w:ind w:firstLine="480" w:firstLineChars="200"/>
        <w:rPr>
          <w:rFonts w:hint="eastAsia" w:ascii="宋体" w:hAnsi="宋体" w:eastAsia="宋体" w:cs="宋体"/>
          <w:sz w:val="24"/>
          <w:szCs w:val="24"/>
        </w:rPr>
      </w:pPr>
      <w:r>
        <w:rPr>
          <w:rFonts w:hint="eastAsia" w:ascii="宋体" w:hAnsi="宋体" w:eastAsia="宋体" w:cs="宋体"/>
          <w:sz w:val="24"/>
          <w:szCs w:val="24"/>
        </w:rPr>
        <w:t>在《征求意见稿》编制过程中，严格遵循“统一性、协调性、适用性、一致性、规范性”的原则，按照GB/T 1.1—2020《标准化工作导则 第1部分：标准化文件的结构和起草规则》的要求进行编写。</w:t>
      </w:r>
    </w:p>
    <w:p w14:paraId="22ABCBF6">
      <w:pPr>
        <w:ind w:firstLine="480" w:firstLineChars="200"/>
        <w:rPr>
          <w:rFonts w:hint="eastAsia" w:ascii="宋体" w:hAnsi="宋体" w:eastAsia="宋体" w:cs="宋体"/>
          <w:sz w:val="24"/>
          <w:szCs w:val="24"/>
        </w:rPr>
      </w:pPr>
      <w:r>
        <w:rPr>
          <w:rFonts w:hint="eastAsia" w:ascii="宋体" w:hAnsi="宋体" w:eastAsia="宋体" w:cs="宋体"/>
          <w:sz w:val="24"/>
          <w:szCs w:val="24"/>
        </w:rPr>
        <w:t>2、严格符合有关法律法规原则</w:t>
      </w:r>
    </w:p>
    <w:p w14:paraId="61370C5B">
      <w:pPr>
        <w:ind w:firstLine="480" w:firstLineChars="200"/>
        <w:rPr>
          <w:rFonts w:hint="eastAsia" w:ascii="宋体" w:hAnsi="宋体" w:eastAsia="宋体" w:cs="宋体"/>
          <w:sz w:val="24"/>
          <w:szCs w:val="24"/>
        </w:rPr>
      </w:pPr>
      <w:r>
        <w:rPr>
          <w:rFonts w:hint="eastAsia" w:ascii="宋体" w:hAnsi="宋体" w:eastAsia="宋体" w:cs="宋体"/>
          <w:sz w:val="24"/>
          <w:szCs w:val="24"/>
        </w:rPr>
        <w:t>《征求意见稿》内容严格符合国家有关法律法规、国务院发布条例、国家部委与地方政府发布规章的要求，包括但不限于《中华人民共和国数据安全法》、《中华人民共和国文物保护法》、《中华人民共和国文物保护法实施条例》等。</w:t>
      </w:r>
    </w:p>
    <w:p w14:paraId="7667EE71">
      <w:pPr>
        <w:ind w:firstLine="480" w:firstLineChars="200"/>
        <w:rPr>
          <w:rFonts w:hint="eastAsia" w:ascii="宋体" w:hAnsi="宋体" w:eastAsia="宋体" w:cs="宋体"/>
          <w:sz w:val="24"/>
          <w:szCs w:val="24"/>
        </w:rPr>
      </w:pPr>
      <w:r>
        <w:rPr>
          <w:rFonts w:hint="eastAsia" w:ascii="宋体" w:hAnsi="宋体" w:eastAsia="宋体" w:cs="宋体"/>
          <w:sz w:val="24"/>
          <w:szCs w:val="24"/>
        </w:rPr>
        <w:t>3、严格和相关国标保持一致原则</w:t>
      </w:r>
    </w:p>
    <w:p w14:paraId="4EEB7AF3">
      <w:pPr>
        <w:ind w:firstLine="480" w:firstLineChars="200"/>
        <w:rPr>
          <w:rFonts w:hint="eastAsia" w:ascii="宋体" w:hAnsi="宋体" w:eastAsia="宋体" w:cs="宋体"/>
          <w:sz w:val="24"/>
          <w:szCs w:val="24"/>
        </w:rPr>
      </w:pPr>
      <w:r>
        <w:rPr>
          <w:rFonts w:hint="eastAsia" w:ascii="宋体" w:hAnsi="宋体" w:eastAsia="宋体" w:cs="宋体"/>
          <w:sz w:val="24"/>
          <w:szCs w:val="24"/>
        </w:rPr>
        <w:t>在《征求意见稿》编制过程中，严格和相关国家标准保持一致，特别是和GB/T 7408—2005《数据元和交换格式 信息交换 日期和时间表示法》、GB/T 18391.1—2009《信息技术 元数据注册系统（MDR） 第1部分：框架》、GB/T 25100—2010《信息与文献 都柏林核心元数据元素集》、GB/T 26816—2011《信息资源核心元数据》等国家标准保持一致。</w:t>
      </w:r>
    </w:p>
    <w:p w14:paraId="33A2208D">
      <w:pPr>
        <w:ind w:firstLine="480" w:firstLineChars="200"/>
        <w:rPr>
          <w:rFonts w:hint="eastAsia" w:ascii="宋体" w:hAnsi="宋体" w:eastAsia="宋体" w:cs="宋体"/>
          <w:sz w:val="24"/>
          <w:szCs w:val="24"/>
        </w:rPr>
      </w:pPr>
      <w:r>
        <w:rPr>
          <w:rFonts w:hint="eastAsia" w:ascii="宋体" w:hAnsi="宋体" w:eastAsia="宋体" w:cs="宋体"/>
          <w:sz w:val="24"/>
          <w:szCs w:val="24"/>
        </w:rPr>
        <w:t>4、严格符合标准其他原则</w:t>
      </w:r>
    </w:p>
    <w:p w14:paraId="7A44CC7E">
      <w:pPr>
        <w:ind w:firstLine="480" w:firstLineChars="200"/>
        <w:rPr>
          <w:rFonts w:hint="eastAsia" w:ascii="宋体" w:hAnsi="宋体" w:eastAsia="宋体" w:cs="宋体"/>
          <w:sz w:val="24"/>
          <w:szCs w:val="24"/>
        </w:rPr>
      </w:pPr>
      <w:r>
        <w:rPr>
          <w:rFonts w:hint="eastAsia" w:ascii="宋体" w:hAnsi="宋体" w:eastAsia="宋体" w:cs="宋体"/>
          <w:sz w:val="24"/>
          <w:szCs w:val="24"/>
        </w:rPr>
        <w:t>在《征求意见稿》编制过程中，严格遵循科学性、先进性、经济性、切实可行等标准制定原则。</w:t>
      </w:r>
    </w:p>
    <w:p w14:paraId="7C30239F">
      <w:pPr>
        <w:pStyle w:val="4"/>
        <w:keepNext w:val="0"/>
        <w:keepLines w:val="0"/>
        <w:widowControl/>
        <w:suppressLineNumbers w:val="0"/>
      </w:pPr>
      <w:r>
        <w:t>（二）主要章节内容及确定依据</w:t>
      </w:r>
    </w:p>
    <w:p w14:paraId="752B6DF2">
      <w:pPr>
        <w:ind w:firstLine="480" w:firstLineChars="200"/>
        <w:rPr>
          <w:rFonts w:hint="eastAsia" w:ascii="宋体" w:hAnsi="宋体" w:eastAsia="宋体" w:cs="宋体"/>
          <w:sz w:val="24"/>
          <w:szCs w:val="24"/>
        </w:rPr>
      </w:pPr>
      <w:r>
        <w:rPr>
          <w:rFonts w:hint="eastAsia" w:ascii="宋体" w:hAnsi="宋体" w:eastAsia="宋体" w:cs="宋体"/>
          <w:sz w:val="24"/>
          <w:szCs w:val="24"/>
        </w:rPr>
        <w:t>标准共分八章，涉及石窟寺类三维数字资源元数据构建的八个核心内容：范围、规范性引用文件、术语和定义、元数据描述方法、核心元数据、元数据扩展、元数据管理、元数据质量控制。以下逐条说明标准中各部分的确定依据：</w:t>
      </w:r>
    </w:p>
    <w:p w14:paraId="2B4A71DF">
      <w:pPr>
        <w:ind w:firstLine="480" w:firstLineChars="200"/>
        <w:rPr>
          <w:rFonts w:hint="eastAsia" w:ascii="宋体" w:hAnsi="宋体" w:eastAsia="宋体" w:cs="宋体"/>
          <w:sz w:val="24"/>
          <w:szCs w:val="24"/>
        </w:rPr>
      </w:pPr>
      <w:r>
        <w:rPr>
          <w:rFonts w:hint="eastAsia" w:ascii="宋体" w:hAnsi="宋体" w:eastAsia="宋体" w:cs="宋体"/>
          <w:sz w:val="24"/>
          <w:szCs w:val="24"/>
        </w:rPr>
        <w:t>1.ICS/CCS</w:t>
      </w:r>
    </w:p>
    <w:p w14:paraId="1015EA74">
      <w:pPr>
        <w:ind w:firstLine="480" w:firstLineChars="200"/>
        <w:rPr>
          <w:rFonts w:hint="eastAsia" w:ascii="宋体" w:hAnsi="宋体" w:eastAsia="宋体" w:cs="宋体"/>
          <w:sz w:val="24"/>
          <w:szCs w:val="24"/>
        </w:rPr>
      </w:pPr>
      <w:r>
        <w:rPr>
          <w:rFonts w:hint="eastAsia" w:ascii="宋体" w:hAnsi="宋体" w:eastAsia="宋体" w:cs="宋体"/>
          <w:sz w:val="24"/>
          <w:szCs w:val="24"/>
        </w:rPr>
        <w:t>本标准归属ICS 35.240.30（信息技术应用/多媒体应用）及CCS L70（文化、体育）。</w:t>
      </w:r>
    </w:p>
    <w:p w14:paraId="21F9A23F">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理论依据：按照国家标准化管理委员会发布的《ICS国际标准分类》和《中国标准分类（CCS）》，石窟寺类三维数字资源元数据相关标准属于ICS 35.240.30和CCS L70分类；该标准属于信息技术应用中的多媒体应用领域，且主要面向文化领域，涉及石窟寺文物保护、文化资源数字化管理、信息交换等内容，符合该分类。</w:t>
      </w:r>
    </w:p>
    <w:p w14:paraId="3C02FC29">
      <w:pPr>
        <w:ind w:firstLine="480" w:firstLineChars="200"/>
        <w:rPr>
          <w:rFonts w:hint="eastAsia" w:ascii="宋体" w:hAnsi="宋体" w:eastAsia="宋体" w:cs="宋体"/>
          <w:sz w:val="24"/>
          <w:szCs w:val="24"/>
        </w:rPr>
      </w:pPr>
      <w:r>
        <w:rPr>
          <w:rFonts w:hint="eastAsia" w:ascii="宋体" w:hAnsi="宋体" w:eastAsia="宋体" w:cs="宋体"/>
          <w:sz w:val="24"/>
          <w:szCs w:val="24"/>
        </w:rPr>
        <w:t>2.标题（中文）</w:t>
      </w:r>
    </w:p>
    <w:p w14:paraId="79A0E55E">
      <w:pPr>
        <w:ind w:firstLine="480" w:firstLineChars="200"/>
        <w:rPr>
          <w:rFonts w:hint="eastAsia" w:ascii="宋体" w:hAnsi="宋体" w:eastAsia="宋体" w:cs="宋体"/>
          <w:sz w:val="24"/>
          <w:szCs w:val="24"/>
        </w:rPr>
      </w:pPr>
      <w:r>
        <w:rPr>
          <w:rFonts w:hint="eastAsia" w:ascii="宋体" w:hAnsi="宋体" w:eastAsia="宋体" w:cs="宋体"/>
          <w:sz w:val="24"/>
          <w:szCs w:val="24"/>
        </w:rPr>
        <w:t>本标准中文标题为《文物数字资源 第3部分：石窟寺类三维数字资源元数据》。</w:t>
      </w:r>
    </w:p>
    <w:p w14:paraId="1D868732">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理论依据：根据GB/T 1.1—2020《标准化工作导则 第1部分》的标准命名规则，标题应体现标准的对象、作用和形式；且目前相关行业内存在以“元数据”命名的标准，本标准名称符合行业习惯，能够恰当表达标准规定的范围。同时，作为《文物数字资源》系列标准的第3部分，与第1部分《元数据模型》、第2部分《元数据互操作应用规范》等共同构成覆盖“采集—建模—展示—服务”的标准链条。</w:t>
      </w:r>
    </w:p>
    <w:p w14:paraId="68C8D612">
      <w:pPr>
        <w:ind w:firstLine="480" w:firstLineChars="200"/>
        <w:rPr>
          <w:rFonts w:hint="eastAsia" w:ascii="宋体" w:hAnsi="宋体" w:eastAsia="宋体" w:cs="宋体"/>
          <w:sz w:val="24"/>
          <w:szCs w:val="24"/>
        </w:rPr>
      </w:pPr>
      <w:r>
        <w:rPr>
          <w:rFonts w:hint="eastAsia" w:ascii="宋体" w:hAnsi="宋体" w:eastAsia="宋体" w:cs="宋体"/>
          <w:sz w:val="24"/>
          <w:szCs w:val="24"/>
        </w:rPr>
        <w:t>3.标题（英文）</w:t>
      </w:r>
    </w:p>
    <w:p w14:paraId="37D4745D">
      <w:pPr>
        <w:ind w:firstLine="480" w:firstLineChars="200"/>
        <w:rPr>
          <w:rFonts w:hint="eastAsia" w:ascii="宋体" w:hAnsi="宋体" w:eastAsia="宋体" w:cs="宋体"/>
          <w:sz w:val="24"/>
          <w:szCs w:val="24"/>
        </w:rPr>
      </w:pPr>
      <w:r>
        <w:rPr>
          <w:rFonts w:hint="eastAsia" w:ascii="宋体" w:hAnsi="宋体" w:eastAsia="宋体" w:cs="宋体"/>
          <w:sz w:val="24"/>
          <w:szCs w:val="24"/>
        </w:rPr>
        <w:t>本标准英文标题为“Digital cultural relics resources - Part 3: Metadata for 3D Digital Resources of Grotto Temples”，系对上述中文标题的直接翻译。</w:t>
      </w:r>
    </w:p>
    <w:p w14:paraId="7DE0667B">
      <w:pPr>
        <w:ind w:firstLine="480" w:firstLineChars="200"/>
        <w:rPr>
          <w:rFonts w:hint="eastAsia" w:ascii="宋体" w:hAnsi="宋体" w:eastAsia="宋体" w:cs="宋体"/>
          <w:sz w:val="24"/>
          <w:szCs w:val="24"/>
        </w:rPr>
      </w:pPr>
      <w:r>
        <w:rPr>
          <w:rFonts w:hint="eastAsia" w:ascii="宋体" w:hAnsi="宋体" w:eastAsia="宋体" w:cs="宋体"/>
          <w:sz w:val="24"/>
          <w:szCs w:val="24"/>
        </w:rPr>
        <w:t>4.范围</w:t>
      </w:r>
    </w:p>
    <w:p w14:paraId="438A6FD4">
      <w:pPr>
        <w:ind w:firstLine="480" w:firstLineChars="200"/>
        <w:rPr>
          <w:rFonts w:hint="eastAsia" w:ascii="宋体" w:hAnsi="宋体" w:eastAsia="宋体" w:cs="宋体"/>
          <w:sz w:val="24"/>
          <w:szCs w:val="24"/>
        </w:rPr>
      </w:pPr>
      <w:r>
        <w:rPr>
          <w:rFonts w:hint="eastAsia" w:ascii="宋体" w:hAnsi="宋体" w:eastAsia="宋体" w:cs="宋体"/>
          <w:sz w:val="24"/>
          <w:szCs w:val="24"/>
        </w:rPr>
        <w:t>本文件规定了石窟寺类文物三维数字资源元数据的术语和定义、元数据描述方法、核心元数据内容、元数据扩展以及元数据质量控制要求。本文件适用于石窟寺类文物三维数字资源的采集、存储、管理、共享、交换和应用。</w:t>
      </w:r>
    </w:p>
    <w:p w14:paraId="666C4DF2">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响应《国务院办公厅关于加强石窟寺保护利用工作的指导意见》提出的“加快制定相关标准规范，开展石窟寺数字化工作，加强数字资源管理和共享共用”的政策要求。同时响应《“十四五”文物保护和科技创新规划》对建设国家文物资源大数据、推动文物资源数字化的任务部署。</w:t>
      </w:r>
    </w:p>
    <w:p w14:paraId="7CF9F2C0">
      <w:pPr>
        <w:ind w:firstLine="480" w:firstLineChars="200"/>
        <w:rPr>
          <w:rFonts w:hint="eastAsia" w:ascii="宋体" w:hAnsi="宋体" w:eastAsia="宋体" w:cs="宋体"/>
          <w:sz w:val="24"/>
          <w:szCs w:val="24"/>
        </w:rPr>
      </w:pPr>
      <w:r>
        <w:rPr>
          <w:rFonts w:hint="eastAsia" w:ascii="宋体" w:hAnsi="宋体" w:eastAsia="宋体" w:cs="宋体"/>
          <w:sz w:val="24"/>
          <w:szCs w:val="24"/>
        </w:rPr>
        <w:t>技术依据：通过构建石窟寺类三维数字资源元数据模型，对多源异构的石窟寺文物三维数字资源元数据实施标准化处理，实现数据以统一格式存储与管理，保障数据一致性与高效性。</w:t>
      </w:r>
    </w:p>
    <w:p w14:paraId="6B3D43C8">
      <w:pPr>
        <w:ind w:firstLine="480" w:firstLineChars="200"/>
        <w:rPr>
          <w:rFonts w:hint="eastAsia" w:ascii="宋体" w:hAnsi="宋体" w:eastAsia="宋体" w:cs="宋体"/>
          <w:sz w:val="24"/>
          <w:szCs w:val="24"/>
        </w:rPr>
      </w:pPr>
      <w:r>
        <w:rPr>
          <w:rFonts w:hint="eastAsia" w:ascii="宋体" w:hAnsi="宋体" w:eastAsia="宋体" w:cs="宋体"/>
          <w:sz w:val="24"/>
          <w:szCs w:val="24"/>
        </w:rPr>
        <w:t>实践依据：通过对云冈研究院等石窟寺保护单位的文物三维数字资源数据组织与管理需求的分析，确定该标准的适用范围，确保其能够促进石窟寺文物数据组织与管理，以及为石窟寺文物数字资源的一站式浏览与检索系统开发提供技术基础。</w:t>
      </w:r>
    </w:p>
    <w:p w14:paraId="2EE9DBDE">
      <w:pPr>
        <w:ind w:firstLine="480" w:firstLineChars="200"/>
        <w:rPr>
          <w:rFonts w:hint="eastAsia" w:ascii="宋体" w:hAnsi="宋体" w:eastAsia="宋体" w:cs="宋体"/>
          <w:sz w:val="24"/>
          <w:szCs w:val="24"/>
        </w:rPr>
      </w:pPr>
      <w:r>
        <w:rPr>
          <w:rFonts w:hint="eastAsia" w:ascii="宋体" w:hAnsi="宋体" w:eastAsia="宋体" w:cs="宋体"/>
          <w:sz w:val="24"/>
          <w:szCs w:val="24"/>
        </w:rPr>
        <w:t>5.规范性引用文件</w:t>
      </w:r>
    </w:p>
    <w:p w14:paraId="04B629A5">
      <w:pPr>
        <w:ind w:firstLine="480" w:firstLineChars="200"/>
        <w:rPr>
          <w:rFonts w:hint="eastAsia" w:ascii="宋体" w:hAnsi="宋体" w:eastAsia="宋体" w:cs="宋体"/>
          <w:sz w:val="24"/>
          <w:szCs w:val="24"/>
        </w:rPr>
      </w:pPr>
      <w:r>
        <w:rPr>
          <w:rFonts w:hint="eastAsia" w:ascii="宋体" w:hAnsi="宋体" w:eastAsia="宋体" w:cs="宋体"/>
          <w:sz w:val="24"/>
          <w:szCs w:val="24"/>
        </w:rPr>
        <w:t>本标准在规范性引用文件部分引用了GB/T 7408—2005《数据元和交换格式 信息交换 日期和时间表示法》、GB/T 18391.1—2009《信息技术 元数据注册系统（MDR） 第1部分：框架》、GB/T 25100—2010《信息与文献 都柏林核心元数据元素集》、GB/T 26816—2011《信息资源核心元数据》、WW/T 0063—2015《石质文物保护工程勘察规范》等国家标准、行业标准。</w:t>
      </w:r>
    </w:p>
    <w:p w14:paraId="4E3979EA">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石窟寺类三维数字资源元数据规定了元数据描述方法、核心元数据内容、元数据扩展及质量控制等内容，适用于石窟寺文物三维数字资源元数据的组织、管理及汇聚工作。因此，相关引用文件涵盖信息技术基本术语、数据模型、日期时间表示、石质文物保护勘察等领域，构成了标准制定的基础技术框架，符合本标准的需求。</w:t>
      </w:r>
    </w:p>
    <w:p w14:paraId="206745FD">
      <w:pPr>
        <w:ind w:firstLine="480" w:firstLineChars="200"/>
        <w:rPr>
          <w:rFonts w:hint="eastAsia" w:ascii="宋体" w:hAnsi="宋体" w:eastAsia="宋体" w:cs="宋体"/>
          <w:sz w:val="24"/>
          <w:szCs w:val="24"/>
        </w:rPr>
      </w:pPr>
      <w:r>
        <w:rPr>
          <w:rFonts w:hint="eastAsia" w:ascii="宋体" w:hAnsi="宋体" w:eastAsia="宋体" w:cs="宋体"/>
          <w:sz w:val="24"/>
          <w:szCs w:val="24"/>
        </w:rPr>
        <w:t>6.术语和定义</w:t>
      </w:r>
    </w:p>
    <w:p w14:paraId="06166251">
      <w:pPr>
        <w:ind w:firstLine="480" w:firstLineChars="200"/>
        <w:rPr>
          <w:rFonts w:hint="eastAsia" w:ascii="宋体" w:hAnsi="宋体" w:eastAsia="宋体" w:cs="宋体"/>
          <w:sz w:val="24"/>
          <w:szCs w:val="24"/>
        </w:rPr>
      </w:pPr>
      <w:r>
        <w:rPr>
          <w:rFonts w:hint="eastAsia" w:ascii="宋体" w:hAnsi="宋体" w:eastAsia="宋体" w:cs="宋体"/>
          <w:sz w:val="24"/>
          <w:szCs w:val="24"/>
        </w:rPr>
        <w:t>本章给出了石窟寺、石窟寺文物三维数据、元数据、元数据元素、元数据实体、点云、网格模型、纹理模型、语义属性、数据分辨率等10个术语及其定义，这些术语是征求意见稿正文中至少出现过2次的关键性技术术语。</w:t>
      </w:r>
    </w:p>
    <w:p w14:paraId="5F460125">
      <w:pPr>
        <w:ind w:firstLine="480" w:firstLineChars="200"/>
        <w:rPr>
          <w:rFonts w:hint="eastAsia" w:ascii="宋体" w:hAnsi="宋体" w:eastAsia="宋体" w:cs="宋体"/>
          <w:sz w:val="24"/>
          <w:szCs w:val="24"/>
        </w:rPr>
      </w:pPr>
      <w:r>
        <w:rPr>
          <w:rFonts w:hint="eastAsia" w:ascii="宋体" w:hAnsi="宋体" w:eastAsia="宋体" w:cs="宋体"/>
          <w:sz w:val="24"/>
          <w:szCs w:val="24"/>
        </w:rPr>
        <w:t>理论和技术依据：根据石窟寺类三维数字资源元数据提炼关键概念，确保标准条文应用时理解一致。本标准所定义的术语来源于现行的标准文件，具有行业通用性。其中“石窟寺”的定义来源于WW/T 0063—2015《石质文物保护工程勘察规范》，“元数据”的定义来源于GB/T 18391.1—2009《信息技术 元数据注册系统（MDR） 第1部分：框架》。</w:t>
      </w:r>
    </w:p>
    <w:p w14:paraId="03AB73BF">
      <w:pPr>
        <w:ind w:firstLine="480" w:firstLineChars="200"/>
        <w:rPr>
          <w:rFonts w:hint="eastAsia" w:ascii="宋体" w:hAnsi="宋体" w:eastAsia="宋体" w:cs="宋体"/>
          <w:sz w:val="24"/>
          <w:szCs w:val="24"/>
        </w:rPr>
      </w:pPr>
      <w:r>
        <w:rPr>
          <w:rFonts w:hint="eastAsia" w:ascii="宋体" w:hAnsi="宋体" w:eastAsia="宋体" w:cs="宋体"/>
          <w:sz w:val="24"/>
          <w:szCs w:val="24"/>
        </w:rPr>
        <w:t>7.各章节技术要素</w:t>
      </w:r>
    </w:p>
    <w:p w14:paraId="615C420F">
      <w:pPr>
        <w:ind w:firstLine="480" w:firstLineChars="200"/>
        <w:rPr>
          <w:rFonts w:hint="eastAsia" w:ascii="宋体" w:hAnsi="宋体" w:eastAsia="宋体" w:cs="宋体"/>
          <w:sz w:val="24"/>
          <w:szCs w:val="24"/>
        </w:rPr>
      </w:pPr>
      <w:r>
        <w:rPr>
          <w:rFonts w:hint="eastAsia" w:ascii="宋体" w:hAnsi="宋体" w:eastAsia="宋体" w:cs="宋体"/>
          <w:sz w:val="24"/>
          <w:szCs w:val="24"/>
        </w:rPr>
        <w:t>（1）本标准“第4章 元数据描述方法”中规定了元数据元素和元数据实体描述的属性，包括中文名称、英文名称、定义、数据类型、值域、约束/条件、备注等七项描述属性。</w:t>
      </w:r>
    </w:p>
    <w:p w14:paraId="16291932">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理论依据：参考GB/T 25100—2010《信息与文献 都柏林核心元数据元素集》中元数据元素的描述方法，对石窟寺类三维数字资源元数据进行描述。</w:t>
      </w:r>
    </w:p>
    <w:p w14:paraId="5C6783A9">
      <w:pPr>
        <w:ind w:firstLine="480" w:firstLineChars="200"/>
        <w:rPr>
          <w:rFonts w:hint="eastAsia" w:ascii="宋体" w:hAnsi="宋体" w:eastAsia="宋体" w:cs="宋体"/>
          <w:sz w:val="24"/>
          <w:szCs w:val="24"/>
        </w:rPr>
      </w:pPr>
      <w:r>
        <w:rPr>
          <w:rFonts w:hint="eastAsia" w:ascii="宋体" w:hAnsi="宋体" w:eastAsia="宋体" w:cs="宋体"/>
          <w:sz w:val="24"/>
          <w:szCs w:val="24"/>
        </w:rPr>
        <w:t>技术依据：根据石窟寺类三维数字资源的特征，采用统一的元数据描述方法，确保模型能适应不同类型石窟寺文物三维数字资源数据的管理和交换需求。</w:t>
      </w:r>
    </w:p>
    <w:p w14:paraId="77E06511">
      <w:pPr>
        <w:ind w:firstLine="480" w:firstLineChars="200"/>
        <w:rPr>
          <w:rFonts w:hint="eastAsia" w:ascii="宋体" w:hAnsi="宋体" w:eastAsia="宋体" w:cs="宋体"/>
          <w:sz w:val="24"/>
          <w:szCs w:val="24"/>
        </w:rPr>
      </w:pPr>
      <w:r>
        <w:rPr>
          <w:rFonts w:hint="eastAsia" w:ascii="宋体" w:hAnsi="宋体" w:eastAsia="宋体" w:cs="宋体"/>
          <w:sz w:val="24"/>
          <w:szCs w:val="24"/>
        </w:rPr>
        <w:t>实践依据：通过对云冈研究院等单位的数据管理需求分析，提出了适应性强、可扩展的元数据描述方法。</w:t>
      </w:r>
    </w:p>
    <w:p w14:paraId="743B1AA0">
      <w:pPr>
        <w:ind w:firstLine="480" w:firstLineChars="200"/>
        <w:rPr>
          <w:rFonts w:hint="eastAsia" w:ascii="宋体" w:hAnsi="宋体" w:eastAsia="宋体" w:cs="宋体"/>
          <w:sz w:val="24"/>
          <w:szCs w:val="24"/>
        </w:rPr>
      </w:pPr>
      <w:r>
        <w:rPr>
          <w:rFonts w:hint="eastAsia" w:ascii="宋体" w:hAnsi="宋体" w:eastAsia="宋体" w:cs="宋体"/>
          <w:sz w:val="24"/>
          <w:szCs w:val="24"/>
        </w:rPr>
        <w:t>（2）本标准“第5章 核心元数据”中提出了石窟寺文物三维数字资源核心元数据的7个元数据实体（基本信息、文物信息、数据采集信息、数据处理信息、数据存储信息、数据管理信息、数据共享与使用信息）及其31个元数据元素，为模型构建提供具体依据。</w:t>
      </w:r>
    </w:p>
    <w:p w14:paraId="15841E20">
      <w:pPr>
        <w:ind w:firstLine="480" w:firstLineChars="200"/>
        <w:rPr>
          <w:rFonts w:hint="eastAsia" w:ascii="宋体" w:hAnsi="宋体" w:eastAsia="宋体" w:cs="宋体"/>
          <w:sz w:val="24"/>
          <w:szCs w:val="24"/>
        </w:rPr>
      </w:pPr>
      <w:r>
        <w:rPr>
          <w:rFonts w:hint="eastAsia" w:ascii="宋体" w:hAnsi="宋体" w:eastAsia="宋体" w:cs="宋体"/>
          <w:sz w:val="24"/>
          <w:szCs w:val="24"/>
        </w:rPr>
        <w:t>理论依据：参考国际标准ISO 21127:2023《信息与文献 文化遗产信息交换参考本体》、国家推荐性标准GB/T 25100—2010《信息与文献 都柏林核心元数据元素集》和文物行业标准WW/T 0063—2015《石质文物保护工程勘察规范》对元数据进行定义并规定了其数据约束和属性列表。</w:t>
      </w:r>
    </w:p>
    <w:p w14:paraId="2602F94A">
      <w:pPr>
        <w:ind w:firstLine="480" w:firstLineChars="200"/>
        <w:rPr>
          <w:rFonts w:hint="eastAsia" w:ascii="宋体" w:hAnsi="宋体" w:eastAsia="宋体" w:cs="宋体"/>
          <w:sz w:val="24"/>
          <w:szCs w:val="24"/>
        </w:rPr>
      </w:pPr>
      <w:r>
        <w:rPr>
          <w:rFonts w:hint="eastAsia" w:ascii="宋体" w:hAnsi="宋体" w:eastAsia="宋体" w:cs="宋体"/>
          <w:sz w:val="24"/>
          <w:szCs w:val="24"/>
        </w:rPr>
        <w:t>技术依据：为石窟寺文物三维数据定义了详细的元数据模型，包括元数据实体、元数据元素、数据类型、值域、约束条件等，确保能够系统地表示石窟寺文物三维数字资源的各类信息。</w:t>
      </w:r>
    </w:p>
    <w:p w14:paraId="6937FEDB">
      <w:pPr>
        <w:ind w:firstLine="480" w:firstLineChars="200"/>
        <w:rPr>
          <w:rFonts w:hint="eastAsia" w:ascii="宋体" w:hAnsi="宋体" w:eastAsia="宋体" w:cs="宋体"/>
          <w:sz w:val="24"/>
          <w:szCs w:val="24"/>
        </w:rPr>
      </w:pPr>
      <w:r>
        <w:rPr>
          <w:rFonts w:hint="eastAsia" w:ascii="宋体" w:hAnsi="宋体" w:eastAsia="宋体" w:cs="宋体"/>
          <w:sz w:val="24"/>
          <w:szCs w:val="24"/>
        </w:rPr>
        <w:t>试验依据：课题组收集云冈研究院等单位石窟寺三维数字资源元数据对该元数据模型进行了实际验证，确保其可用性和应用效果。</w:t>
      </w:r>
    </w:p>
    <w:p w14:paraId="15F7B285">
      <w:pPr>
        <w:ind w:firstLine="480" w:firstLineChars="200"/>
        <w:rPr>
          <w:rFonts w:hint="eastAsia" w:ascii="宋体" w:hAnsi="宋体" w:eastAsia="宋体" w:cs="宋体"/>
          <w:sz w:val="24"/>
          <w:szCs w:val="24"/>
        </w:rPr>
      </w:pPr>
      <w:r>
        <w:rPr>
          <w:rFonts w:hint="eastAsia" w:ascii="宋体" w:hAnsi="宋体" w:eastAsia="宋体" w:cs="宋体"/>
          <w:sz w:val="24"/>
          <w:szCs w:val="24"/>
        </w:rPr>
        <w:t>（3）本标准“第6章 元数据扩展”中规定了扩展原则和扩展方法，提出了必要性原则、兼容性原则、规范性原则，并规定了扩展元数据应添加前缀“EXT_”以区别于核心元数据。</w:t>
      </w:r>
    </w:p>
    <w:p w14:paraId="397B173E">
      <w:pPr>
        <w:ind w:firstLine="480" w:firstLineChars="200"/>
        <w:rPr>
          <w:rFonts w:hint="eastAsia" w:ascii="宋体" w:hAnsi="宋体" w:eastAsia="宋体" w:cs="宋体"/>
          <w:sz w:val="24"/>
          <w:szCs w:val="24"/>
        </w:rPr>
      </w:pPr>
      <w:r>
        <w:rPr>
          <w:rFonts w:hint="eastAsia" w:ascii="宋体" w:hAnsi="宋体" w:eastAsia="宋体" w:cs="宋体"/>
          <w:sz w:val="24"/>
          <w:szCs w:val="24"/>
        </w:rPr>
        <w:t>（4）本标准“第7章 元数据管理”中规定了元数据创建、元数据更新、元数据存储与维护、元数据安全等管理要求。</w:t>
      </w:r>
    </w:p>
    <w:p w14:paraId="3C153A74">
      <w:pPr>
        <w:ind w:firstLine="480" w:firstLineChars="200"/>
        <w:rPr>
          <w:rFonts w:hint="eastAsia" w:ascii="宋体" w:hAnsi="宋体" w:eastAsia="宋体" w:cs="宋体"/>
          <w:sz w:val="24"/>
          <w:szCs w:val="24"/>
        </w:rPr>
      </w:pPr>
      <w:r>
        <w:rPr>
          <w:rFonts w:hint="eastAsia" w:ascii="宋体" w:hAnsi="宋体" w:eastAsia="宋体" w:cs="宋体"/>
          <w:sz w:val="24"/>
          <w:szCs w:val="24"/>
        </w:rPr>
        <w:t>本标准“第8章 元数据质量控制”中规定了质量控制目标、质量控制内容（格式检查、必填项检查、逻辑一致性检查、准确性验证、完整性评估）以及质量问题处理方法。</w:t>
      </w:r>
    </w:p>
    <w:p w14:paraId="7A5953D2">
      <w:pPr>
        <w:pStyle w:val="3"/>
        <w:keepNext w:val="0"/>
        <w:keepLines w:val="0"/>
        <w:widowControl/>
        <w:numPr>
          <w:ilvl w:val="0"/>
          <w:numId w:val="0"/>
        </w:numPr>
        <w:suppressLineNumbers w:val="0"/>
        <w:outlineLvl w:val="1"/>
      </w:pPr>
      <w:r>
        <w:t>三、主要试验</w:t>
      </w:r>
      <w:r>
        <w:rPr>
          <w:rFonts w:hint="eastAsia"/>
          <w:sz w:val="32"/>
          <w:szCs w:val="32"/>
          <w:lang w:val="en-US" w:eastAsia="zh-CN"/>
        </w:rPr>
        <w:t>[或</w:t>
      </w:r>
      <w:r>
        <w:rPr>
          <w:sz w:val="32"/>
          <w:szCs w:val="32"/>
        </w:rPr>
        <w:t>验证</w:t>
      </w:r>
      <w:r>
        <w:rPr>
          <w:rFonts w:hint="eastAsia"/>
          <w:sz w:val="32"/>
          <w:szCs w:val="32"/>
          <w:lang w:val="en-US" w:eastAsia="zh-CN"/>
        </w:rPr>
        <w:t>]</w:t>
      </w:r>
      <w:r>
        <w:t>情况分析</w:t>
      </w:r>
    </w:p>
    <w:p w14:paraId="21DE7321">
      <w:pPr>
        <w:ind w:firstLine="480" w:firstLineChars="200"/>
        <w:rPr>
          <w:rFonts w:hint="eastAsia" w:ascii="宋体" w:hAnsi="宋体" w:eastAsia="宋体" w:cs="宋体"/>
          <w:sz w:val="24"/>
          <w:szCs w:val="24"/>
        </w:rPr>
      </w:pPr>
      <w:r>
        <w:rPr>
          <w:rFonts w:hint="eastAsia" w:ascii="宋体" w:hAnsi="宋体" w:eastAsia="宋体" w:cs="宋体"/>
          <w:sz w:val="24"/>
          <w:szCs w:val="24"/>
        </w:rPr>
        <w:t>本标准编制前期从多维度开展研究工作。在实地考察方面，主要采用线上线下相结合的调研方法：线上调研覆盖多个石窟寺文物数字资源组织与呈现项目或站点，系统梳理并总结其技术与体验特点；线下实地走访云冈研究院、敦煌研究院等多家石窟寺保护单位及文博机构，深入调研其石窟寺文物三维数字资源组织与呈现技术的应用情况。在文件调研方面，主要参考了文物行业数字资源相关标准，例如国际标准ISO 21127:2023《信息与文献 文化遗产信息交换参考本体》，以及文物领域现行相关文化遗产的数据管理标准、元数据模型标准或概念参考模型标准，例如国家推荐性标准GB/T 25100—2010《信息与文献 都柏林核心元数据元素集》和文物行业标准WW/T 0063—2015《石质文物保护工程勘察规范》。通过结合实地业务考察和相关文件研究，确保制订标准符合石窟寺数字资源平台业务实际，对推进石窟寺数字化保护与展示具有指导意义。在保障数字资源安全的前提下，合理开放和共享石窟寺数字资源元数据，推动文化遗产产业的发展。</w:t>
      </w:r>
    </w:p>
    <w:p w14:paraId="0483D460">
      <w:pPr>
        <w:pStyle w:val="3"/>
        <w:keepNext w:val="0"/>
        <w:keepLines w:val="0"/>
        <w:widowControl/>
        <w:suppressLineNumbers w:val="0"/>
      </w:pPr>
      <w:r>
        <w:rPr>
          <w:rFonts w:hint="eastAsia"/>
        </w:rPr>
        <w:t>四、</w:t>
      </w:r>
      <w:r>
        <w:t>知识产权情况说明</w:t>
      </w:r>
    </w:p>
    <w:p w14:paraId="5DE4E33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109950C8">
      <w:pPr>
        <w:pStyle w:val="3"/>
        <w:keepNext w:val="0"/>
        <w:keepLines w:val="0"/>
        <w:widowControl/>
        <w:suppressLineNumbers w:val="0"/>
      </w:pPr>
      <w:r>
        <w:t>五、产业化、推广应用论证及预期效益</w:t>
      </w:r>
    </w:p>
    <w:p w14:paraId="7894F33A">
      <w:pPr>
        <w:ind w:firstLine="480" w:firstLineChars="2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本标准的实施能够实现跨石窟寺保护单位的文物三维数字资源一站式浏览与检索，提升石窟寺文物三维数字资源元数据的可访问性和共享性。通过加强石窟寺保护单位间协作，为跨机构元数据汇聚提供基础性支撑，为未来构建学术研究和技术开发的统一数据平台创造条件。公众将获得更便捷的石窟寺文物资源接触渠道，从而激发参与热情，推动文化遗产的广泛传播。此外，基于共享数据的深度挖掘与创新应用，有望形成开放协同的生态系统，实现文化价值与经济价值的良性循环，最终助力石窟寺文化遗产产业的可持续发展。</w:t>
      </w:r>
    </w:p>
    <w:p w14:paraId="466823DF">
      <w:pPr>
        <w:pStyle w:val="3"/>
        <w:keepNext w:val="0"/>
        <w:keepLines w:val="0"/>
        <w:widowControl/>
        <w:suppressLineNumbers w:val="0"/>
      </w:pPr>
      <w:r>
        <w:t>六、采用国际标准和国外先进标准情况</w:t>
      </w:r>
    </w:p>
    <w:p w14:paraId="73EE10DD">
      <w:pPr>
        <w:ind w:firstLine="480" w:firstLineChars="200"/>
        <w:rPr>
          <w:rFonts w:hint="eastAsia" w:ascii="宋体" w:hAnsi="宋体" w:eastAsia="宋体" w:cs="宋体"/>
          <w:sz w:val="24"/>
          <w:szCs w:val="24"/>
        </w:rPr>
      </w:pPr>
      <w:r>
        <w:rPr>
          <w:rFonts w:hint="eastAsia" w:ascii="宋体" w:hAnsi="宋体" w:eastAsia="宋体" w:cs="宋体"/>
          <w:sz w:val="24"/>
          <w:szCs w:val="24"/>
        </w:rPr>
        <w:t>与国际、国外同类标准对比情况：目前，国内外石窟寺类三维数字资源元数据相关标准较少。国际标准方面，有ISO 21127:2023《信息与文献 文化遗产信息交换参考本体》，该标准主要针对文化遗产领域的数字资源交换，适用于物理文化遗产的数据管理。然而，该标准在三维数字资源的专门描述方面存在不足，难以满足石窟寺类三维数字资源的特定需求。此外，该标准的数据体系较为复杂，应用于大规模数据互操作的成本较高。国家标准方面，GB/T 25100—2010《信息与文献 都柏林核心元数据元素集》标准被广泛应用于文化遗产领域，并适用于数字资源的基本描述，然而该标准主要关注信息资源的一般性描述，缺乏针对石窟寺类三维数字资源特征的细化支持。GB/T 26816—2011《信息资源核心元数据》提供了信息资源核心元数据的基本框架，但同样缺乏对石窟寺文物三维数据特殊性的针对性描述。</w:t>
      </w:r>
    </w:p>
    <w:p w14:paraId="4367AAC9">
      <w:pPr>
        <w:ind w:firstLine="480" w:firstLineChars="200"/>
        <w:rPr>
          <w:rFonts w:hint="eastAsia" w:ascii="宋体" w:hAnsi="宋体" w:eastAsia="宋体" w:cs="宋体"/>
          <w:sz w:val="24"/>
          <w:szCs w:val="24"/>
        </w:rPr>
      </w:pPr>
      <w:r>
        <w:rPr>
          <w:rFonts w:hint="eastAsia" w:ascii="宋体" w:hAnsi="宋体" w:eastAsia="宋体" w:cs="宋体"/>
          <w:sz w:val="24"/>
          <w:szCs w:val="24"/>
        </w:rPr>
        <w:t>本标准给出了石窟寺类三维数字资源元数据模型，规定了元数据描述方法、核心元数据内容、元数据扩展方式及质量控制要求。标准适用于石窟寺文物三维数字资源数据的组织、管理及元数据汇聚，基本满足行业主流标准要求，支持多源异构石窟寺文物三维数字资源元数据的智能关联与高效汇聚，可实现石窟寺文物三维数字资源元数据的一站式整合与展示，具备作为团体标准推广实施的可行性。</w:t>
      </w:r>
    </w:p>
    <w:p w14:paraId="20ED50E2">
      <w:pPr>
        <w:pStyle w:val="3"/>
        <w:keepNext w:val="0"/>
        <w:keepLines w:val="0"/>
        <w:widowControl/>
        <w:suppressLineNumbers w:val="0"/>
      </w:pPr>
      <w:r>
        <w:t>七、与现行法律、法规、规章及相关标准的协调性</w:t>
      </w:r>
    </w:p>
    <w:p w14:paraId="3319A83B">
      <w:pPr>
        <w:pStyle w:val="4"/>
        <w:keepNext w:val="0"/>
        <w:keepLines w:val="0"/>
        <w:widowControl/>
        <w:suppressLineNumbers w:val="0"/>
        <w:rPr>
          <w:rFonts w:hint="eastAsia"/>
        </w:rPr>
      </w:pPr>
      <w:r>
        <w:rPr>
          <w:rFonts w:hint="eastAsia"/>
        </w:rPr>
        <w:t>（一）遵循有关的现行法律法规和强制性国家标准</w:t>
      </w:r>
    </w:p>
    <w:p w14:paraId="0CB19096">
      <w:pPr>
        <w:ind w:firstLine="480" w:firstLineChars="200"/>
        <w:rPr>
          <w:rFonts w:hint="eastAsia" w:ascii="宋体" w:hAnsi="宋体" w:eastAsia="宋体" w:cs="宋体"/>
          <w:sz w:val="24"/>
          <w:szCs w:val="24"/>
        </w:rPr>
      </w:pPr>
      <w:r>
        <w:rPr>
          <w:rFonts w:hint="eastAsia" w:ascii="宋体" w:hAnsi="宋体" w:eastAsia="宋体" w:cs="宋体"/>
          <w:sz w:val="24"/>
          <w:szCs w:val="24"/>
        </w:rPr>
        <w:t>1、《中华人民共和国数据安全法》（以下简称“《数据安全法》”）是为规范数据处理活动，保障数据安全，促进数据开发利用，保护个人、组织的合法权益，维护国家主权、安全和发展利益而制定的数据安全方面的法律。所编写标准的全部内容必须符合《数据安全法》各项条款的规定和要求，不得阻碍《数据安全法》的顺利实施。</w:t>
      </w:r>
    </w:p>
    <w:p w14:paraId="3D0AE046">
      <w:pPr>
        <w:ind w:firstLine="480" w:firstLineChars="200"/>
        <w:rPr>
          <w:rFonts w:hint="eastAsia" w:ascii="宋体" w:hAnsi="宋体" w:eastAsia="宋体" w:cs="宋体"/>
          <w:sz w:val="24"/>
          <w:szCs w:val="24"/>
        </w:rPr>
      </w:pPr>
      <w:r>
        <w:rPr>
          <w:rFonts w:hint="eastAsia" w:ascii="宋体" w:hAnsi="宋体" w:eastAsia="宋体" w:cs="宋体"/>
          <w:sz w:val="24"/>
          <w:szCs w:val="24"/>
        </w:rPr>
        <w:t>2、《中华人民共和国文物保护法》（以下简称“《文物保护法》”）是为加强对文物的保护，继承中华民族优秀的历史文化遗产，促进科学研究工作，进行爱国主义和革命传统教育，建设社会主义精神文明和物质文明而制定的有关文物保护方面的法律。所编写标准的全部内容必须符合《文物保护法》各项条款的规定和要求，不得阻碍《文物保护法》的顺利实施。</w:t>
      </w:r>
    </w:p>
    <w:p w14:paraId="1CCF48C6">
      <w:pPr>
        <w:ind w:firstLine="480" w:firstLineChars="200"/>
        <w:rPr>
          <w:rFonts w:hint="eastAsia" w:ascii="宋体" w:hAnsi="宋体" w:eastAsia="宋体" w:cs="宋体"/>
          <w:sz w:val="24"/>
          <w:szCs w:val="24"/>
        </w:rPr>
      </w:pPr>
      <w:r>
        <w:rPr>
          <w:rFonts w:hint="eastAsia" w:ascii="宋体" w:hAnsi="宋体" w:eastAsia="宋体" w:cs="宋体"/>
          <w:sz w:val="24"/>
          <w:szCs w:val="24"/>
        </w:rPr>
        <w:t>3、《中华人民共和国文物保护法实施条例》（以下简称“《文物保护法实施条例》”）是为保障《中华人民共和国文物保护法》有效实施、将文物保护工作落到实处，国务院制定的文物保护工作中具体要求方面的实施条例。所编写标准的全部内容必须符合《文物保护法实施条例》各项条款的规定和要求，不得阻碍《文物保护法实施条例》的顺利实施。</w:t>
      </w:r>
    </w:p>
    <w:p w14:paraId="122759A4">
      <w:pPr>
        <w:ind w:firstLine="480" w:firstLineChars="200"/>
        <w:rPr>
          <w:rFonts w:hint="eastAsia" w:ascii="宋体" w:hAnsi="宋体" w:eastAsia="宋体" w:cs="宋体"/>
          <w:sz w:val="24"/>
          <w:szCs w:val="24"/>
        </w:rPr>
      </w:pPr>
      <w:r>
        <w:rPr>
          <w:rFonts w:hint="eastAsia" w:ascii="宋体" w:hAnsi="宋体" w:eastAsia="宋体" w:cs="宋体"/>
          <w:sz w:val="24"/>
          <w:szCs w:val="24"/>
        </w:rPr>
        <w:t>4、《国务院办公厅关于加强石窟寺保护利用工作的指导意见》提出了“加强石窟寺数字化保护利用。加快制定相关标准规范，开展石窟寺数字化工作，加强数字资源管理和共享共用”的要求。所编写标准的全部内容必须符合该指导意见的各项规定和要求。</w:t>
      </w:r>
    </w:p>
    <w:p w14:paraId="64ACD051">
      <w:pPr>
        <w:pStyle w:val="4"/>
        <w:keepNext w:val="0"/>
        <w:keepLines w:val="0"/>
        <w:widowControl/>
        <w:suppressLineNumbers w:val="0"/>
        <w:rPr>
          <w:rFonts w:hint="eastAsia"/>
        </w:rPr>
      </w:pPr>
      <w:r>
        <w:rPr>
          <w:rFonts w:hint="eastAsia"/>
        </w:rPr>
        <w:t>（二）与基础通用标准、同级和上级标准、系列标准等相关标准协调配套</w:t>
      </w:r>
    </w:p>
    <w:p w14:paraId="59D1C132">
      <w:pPr>
        <w:ind w:firstLine="480" w:firstLineChars="200"/>
        <w:rPr>
          <w:rFonts w:hint="eastAsia" w:ascii="宋体" w:hAnsi="宋体" w:eastAsia="宋体" w:cs="宋体"/>
          <w:sz w:val="24"/>
          <w:szCs w:val="24"/>
        </w:rPr>
      </w:pPr>
      <w:r>
        <w:rPr>
          <w:rFonts w:hint="eastAsia" w:ascii="宋体" w:hAnsi="宋体" w:eastAsia="宋体" w:cs="宋体"/>
          <w:sz w:val="24"/>
          <w:szCs w:val="24"/>
        </w:rPr>
        <w:t>《征求意见稿》与基础通用标准、同级和上级标准、系列标准等相关标准都应具有协调性，与基础通用标准在术语、功能、指标描述上要做到一致，与同级和上级标准要做到术语、功能、指标描述顺承，与系列标准要做到术语、功能、指标等内容划分明确。在标准体系协调方面，本标准并非孤立制定，而是作为《文物数字资源管理与利用标准体系》的一部分，与同属该体系的元数据模型（第1部分）、元数据互操作应用规范（第2部分）、资源管理流程规范、知识组织表达模型等标准形成互补关系，统一构成覆盖“采集—建模—展示—服务”的标准链条。编写组根据已找到的现行标准对相关性、协调性进行了具体分析，具体如下：</w:t>
      </w:r>
    </w:p>
    <w:p w14:paraId="5A71D6E9">
      <w:pPr>
        <w:ind w:firstLine="480" w:firstLineChars="200"/>
        <w:rPr>
          <w:rFonts w:hint="eastAsia" w:ascii="宋体" w:hAnsi="宋体" w:eastAsia="宋体" w:cs="宋体"/>
          <w:sz w:val="24"/>
          <w:szCs w:val="24"/>
        </w:rPr>
      </w:pPr>
      <w:r>
        <w:rPr>
          <w:rFonts w:hint="eastAsia" w:ascii="宋体" w:hAnsi="宋体" w:eastAsia="宋体" w:cs="宋体"/>
          <w:sz w:val="24"/>
          <w:szCs w:val="24"/>
        </w:rPr>
        <w:t>1、ISO 21127:2023《信息与文献 文化遗产信息交换参考本体》</w:t>
      </w:r>
    </w:p>
    <w:p w14:paraId="6D5141FF">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（1）相关性：该标准为国际标准，《征求意见稿》第3章“术语和定义”、第5章“核心元数据”，有部分和ISO 21127:2023的理念保持一致，《征求意见稿》也参考了该标准的部分内容。</w:t>
      </w:r>
    </w:p>
    <w:p w14:paraId="1AE7278E">
      <w:pPr>
        <w:ind w:firstLine="480" w:firstLineChars="200"/>
        <w:rPr>
          <w:rFonts w:hint="eastAsia" w:ascii="宋体" w:hAnsi="宋体" w:eastAsia="宋体" w:cs="宋体"/>
          <w:sz w:val="24"/>
          <w:szCs w:val="24"/>
        </w:rPr>
      </w:pPr>
    </w:p>
    <w:p w14:paraId="3D517F48">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00E68BFD">
      <w:pPr>
        <w:ind w:firstLine="480" w:firstLineChars="200"/>
        <w:rPr>
          <w:rFonts w:hint="eastAsia" w:ascii="宋体" w:hAnsi="宋体" w:eastAsia="宋体" w:cs="宋体"/>
          <w:sz w:val="24"/>
          <w:szCs w:val="24"/>
        </w:rPr>
      </w:pPr>
      <w:r>
        <w:rPr>
          <w:rFonts w:hint="eastAsia" w:ascii="宋体" w:hAnsi="宋体" w:eastAsia="宋体" w:cs="宋体"/>
          <w:sz w:val="24"/>
          <w:szCs w:val="24"/>
        </w:rPr>
        <w:t>2、GB/T 25100—2010《信息与文献 都柏林核心元数据元素集》</w:t>
      </w:r>
    </w:p>
    <w:p w14:paraId="7B761C99">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（1）相关性：该标准为国家推荐性标准，《征求意见稿》第4章“元数据描述方法”和第5章“核心元数据”，有部分和GB/T 25100—2010保持一致，《征求意见稿》也参考了该标准的部分内容。</w:t>
      </w:r>
    </w:p>
    <w:p w14:paraId="68585E48">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3015EFFF">
      <w:pPr>
        <w:ind w:firstLine="480" w:firstLineChars="200"/>
        <w:rPr>
          <w:rFonts w:hint="eastAsia" w:ascii="宋体" w:hAnsi="宋体" w:eastAsia="宋体" w:cs="宋体"/>
          <w:sz w:val="24"/>
          <w:szCs w:val="24"/>
        </w:rPr>
      </w:pPr>
      <w:r>
        <w:rPr>
          <w:rFonts w:hint="eastAsia" w:ascii="宋体" w:hAnsi="宋体" w:eastAsia="宋体" w:cs="宋体"/>
          <w:sz w:val="24"/>
          <w:szCs w:val="24"/>
        </w:rPr>
        <w:t>3、GB/T 26816—2011《信息资源核心元数据》</w:t>
      </w:r>
    </w:p>
    <w:p w14:paraId="58D1F4FF">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（1）相关性：该标准为国家推荐性标准，《征求意见稿》参考了该标准的部分内容。</w:t>
      </w:r>
    </w:p>
    <w:p w14:paraId="4DD705B6">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10AB9CB9">
      <w:pPr>
        <w:ind w:firstLine="480" w:firstLineChars="200"/>
        <w:rPr>
          <w:rFonts w:hint="eastAsia" w:ascii="宋体" w:hAnsi="宋体" w:eastAsia="宋体" w:cs="宋体"/>
          <w:sz w:val="24"/>
          <w:szCs w:val="24"/>
        </w:rPr>
      </w:pPr>
      <w:r>
        <w:rPr>
          <w:rFonts w:hint="eastAsia" w:ascii="宋体" w:hAnsi="宋体" w:eastAsia="宋体" w:cs="宋体"/>
          <w:sz w:val="24"/>
          <w:szCs w:val="24"/>
        </w:rPr>
        <w:t>4、GB/T 18391.1—2009《信息技术 元数据注册系统（MDR） 第1部分：框架》</w:t>
      </w:r>
    </w:p>
    <w:p w14:paraId="2E70879B">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（1）相关性：该标准为国家推荐性标准，《征求意见稿》第3章“术语和定义”中“元数据”的定义来源于该标准。</w:t>
      </w:r>
    </w:p>
    <w:p w14:paraId="58CF19E8">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3345B1F7">
      <w:pPr>
        <w:ind w:firstLine="480" w:firstLineChars="200"/>
        <w:rPr>
          <w:rFonts w:hint="eastAsia" w:ascii="宋体" w:hAnsi="宋体" w:eastAsia="宋体" w:cs="宋体"/>
          <w:sz w:val="24"/>
          <w:szCs w:val="24"/>
        </w:rPr>
      </w:pPr>
      <w:r>
        <w:rPr>
          <w:rFonts w:hint="eastAsia" w:ascii="宋体" w:hAnsi="宋体" w:eastAsia="宋体" w:cs="宋体"/>
          <w:sz w:val="24"/>
          <w:szCs w:val="24"/>
        </w:rPr>
        <w:t>5、WW/T 0063—2015《石质文物保护工程勘察规范》</w:t>
      </w:r>
    </w:p>
    <w:p w14:paraId="42A59A06">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（1）相关性：该标准为行业标准，《征求意见稿》第3章“术语和定义”中“石窟寺”的定义来源于该标准。</w:t>
      </w:r>
    </w:p>
    <w:p w14:paraId="3E4FE7DC">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75072A81">
      <w:pPr>
        <w:ind w:firstLine="480" w:firstLineChars="200"/>
        <w:rPr>
          <w:rFonts w:hint="eastAsia" w:ascii="宋体" w:hAnsi="宋体" w:eastAsia="宋体" w:cs="宋体"/>
          <w:sz w:val="24"/>
          <w:szCs w:val="24"/>
        </w:rPr>
      </w:pPr>
      <w:r>
        <w:rPr>
          <w:rFonts w:hint="eastAsia" w:ascii="宋体" w:hAnsi="宋体" w:eastAsia="宋体" w:cs="宋体"/>
          <w:sz w:val="24"/>
          <w:szCs w:val="24"/>
        </w:rPr>
        <w:t>6、WW/T 0017—2013《馆藏文物登录规范》</w:t>
      </w:r>
    </w:p>
    <w:p w14:paraId="51146392">
      <w:pPr>
        <w:ind w:firstLine="480" w:firstLineChars="200"/>
        <w:rPr>
          <w:rFonts w:hint="eastAsia" w:ascii="宋体" w:hAnsi="宋体" w:eastAsia="宋体" w:cs="宋体"/>
          <w:sz w:val="24"/>
          <w:szCs w:val="24"/>
        </w:rPr>
      </w:pPr>
      <w:r>
        <w:rPr>
          <w:rFonts w:hint="eastAsia" w:ascii="宋体" w:hAnsi="宋体" w:eastAsia="宋体" w:cs="宋体"/>
          <w:sz w:val="24"/>
          <w:szCs w:val="24"/>
        </w:rPr>
        <w:t>（1）相关性：该标准为行业标准，《征求意见稿》参考了该标准的部分内容。</w:t>
      </w:r>
    </w:p>
    <w:p w14:paraId="6369414D">
      <w:pPr>
        <w:ind w:firstLine="480" w:firstLineChars="200"/>
        <w:rPr>
          <w:rFonts w:hint="eastAsia" w:ascii="宋体" w:hAnsi="宋体" w:eastAsia="宋体" w:cs="宋体"/>
          <w:sz w:val="24"/>
          <w:szCs w:val="24"/>
        </w:rPr>
      </w:pPr>
      <w:r>
        <w:rPr>
          <w:rFonts w:hint="eastAsia" w:ascii="宋体" w:hAnsi="宋体" w:eastAsia="宋体" w:cs="宋体"/>
          <w:sz w:val="24"/>
          <w:szCs w:val="24"/>
        </w:rPr>
        <w:t>（2）协调性：《征求意见稿》与该标准之间没有冲突，具有协调性。</w:t>
      </w:r>
    </w:p>
    <w:p w14:paraId="11264A2B">
      <w:pPr>
        <w:pStyle w:val="3"/>
        <w:keepNext w:val="0"/>
        <w:keepLines w:val="0"/>
        <w:widowControl/>
        <w:suppressLineNumbers w:val="0"/>
      </w:pPr>
      <w:r>
        <w:t>八、重大分歧意见的处理经过和依据</w:t>
      </w:r>
    </w:p>
    <w:p w14:paraId="5B26783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3B4B555E">
      <w:pPr>
        <w:pStyle w:val="3"/>
        <w:keepNext w:val="0"/>
        <w:keepLines w:val="0"/>
        <w:widowControl/>
        <w:suppressLineNumbers w:val="0"/>
      </w:pPr>
      <w:r>
        <w:t>九、贯彻标准的要求和措施建议</w:t>
      </w:r>
    </w:p>
    <w:p w14:paraId="78CDB5AC">
      <w:pPr>
        <w:ind w:firstLine="480" w:firstLineChars="200"/>
        <w:rPr>
          <w:rFonts w:hint="eastAsia" w:ascii="宋体" w:hAnsi="宋体" w:eastAsia="宋体" w:cs="宋体"/>
          <w:sz w:val="24"/>
          <w:szCs w:val="24"/>
        </w:rPr>
      </w:pPr>
      <w:r>
        <w:rPr>
          <w:rFonts w:hint="default" w:ascii="宋体" w:hAnsi="宋体" w:eastAsia="宋体" w:cs="宋体"/>
          <w:sz w:val="24"/>
          <w:szCs w:val="24"/>
        </w:rPr>
        <w:t>贯彻标准的要求和措施建议有：</w:t>
      </w:r>
    </w:p>
    <w:p w14:paraId="5F7E6200">
      <w:pPr>
        <w:ind w:firstLine="480" w:firstLineChars="200"/>
        <w:rPr>
          <w:rFonts w:hint="default" w:ascii="宋体" w:hAnsi="宋体" w:eastAsia="宋体" w:cs="宋体"/>
          <w:sz w:val="24"/>
          <w:szCs w:val="24"/>
        </w:rPr>
      </w:pPr>
      <w:r>
        <w:rPr>
          <w:rFonts w:hint="default" w:ascii="宋体" w:hAnsi="宋体" w:eastAsia="宋体" w:cs="宋体"/>
          <w:sz w:val="24"/>
          <w:szCs w:val="24"/>
        </w:rPr>
        <w:t>一是建议国家和行业相关主管单位、行政部门大力宣传并严格落实相关工作，促进标准落地实施。特别是贯彻落实《国务院办公厅关于加强石窟寺保护利用工作的指导意见》中关于“加快制定相关标准规范，开展石窟寺数字化工作，加强数字资源管理和共享共用”的要求。建议文物标准化委员会和起草单位联合组织标准宣贯培训。</w:t>
      </w:r>
    </w:p>
    <w:p w14:paraId="3D58F75F">
      <w:pPr>
        <w:ind w:firstLine="480" w:firstLineChars="200"/>
        <w:rPr>
          <w:rFonts w:hint="default" w:ascii="宋体" w:hAnsi="宋体" w:eastAsia="宋体" w:cs="宋体"/>
          <w:sz w:val="24"/>
          <w:szCs w:val="24"/>
        </w:rPr>
      </w:pPr>
      <w:r>
        <w:rPr>
          <w:rFonts w:hint="default" w:ascii="宋体" w:hAnsi="宋体" w:eastAsia="宋体" w:cs="宋体"/>
          <w:sz w:val="24"/>
          <w:szCs w:val="24"/>
        </w:rPr>
        <w:t>二是建议各类石窟寺保护单位、博物馆、考古所等文物收藏单位发挥行业主体职责，制定并形成相关工作机制流程，促进石窟寺文物三维数字资源元数据组织工作按标准规范开展，实现石窟寺文物数字资源组织与互操作，为大规模石窟寺文物数字资源“物理分散、逻辑关联”打好基础，促进标准落地应用。</w:t>
      </w:r>
    </w:p>
    <w:p w14:paraId="35DF6696">
      <w:pPr>
        <w:ind w:firstLine="480" w:firstLineChars="200"/>
      </w:pPr>
      <w:r>
        <w:rPr>
          <w:rFonts w:hint="default" w:ascii="宋体" w:hAnsi="宋体" w:eastAsia="宋体" w:cs="宋体"/>
          <w:sz w:val="24"/>
          <w:szCs w:val="24"/>
        </w:rPr>
        <w:t>三是建议石窟寺文物数字资源组织与互操作工作的各相关方认真学习和贯彻本标准，以高质量、高效率地推进相关工作。通过采用统一的石窟寺文物三维数字资源元数据模型，使不同石窟寺保护单位的文物三维数据能够基于该元数据模型进行规范化转换，从而实现石窟寺文物三维数字资源的去中心化一站式访问与共享，进而提升公众获取石窟寺文化资源的便利性，促进馆际协作与数据整合，支持石窟寺文化遗产的数字化保护与传播。同时，通过数据挖掘和创新应用，推动文化价值与经济价值的良性循环，助力石窟寺文化遗产产业可持续发展。</w:t>
      </w:r>
    </w:p>
    <w:p w14:paraId="363CE424">
      <w:pPr>
        <w:pStyle w:val="3"/>
        <w:keepNext w:val="0"/>
        <w:keepLines w:val="0"/>
        <w:widowControl/>
        <w:suppressLineNumbers w:val="0"/>
      </w:pPr>
      <w:r>
        <w:t>十、替代或废止现行相关标准的建议</w:t>
      </w:r>
    </w:p>
    <w:p w14:paraId="0B48920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2523A29A">
      <w:pPr>
        <w:pStyle w:val="3"/>
        <w:keepNext w:val="0"/>
        <w:keepLines w:val="0"/>
        <w:widowControl/>
        <w:suppressLineNumbers w:val="0"/>
      </w:pPr>
      <w:r>
        <w:t>十一、其他应予说明的事项</w:t>
      </w:r>
    </w:p>
    <w:p w14:paraId="04A4834A">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61DAB063">
      <w:pPr>
        <w:ind w:firstLine="480" w:firstLineChars="200"/>
        <w:jc w:val="right"/>
        <w:rPr>
          <w:rFonts w:hint="default" w:ascii="宋体" w:hAnsi="宋体" w:eastAsia="宋体" w:cs="宋体"/>
          <w:sz w:val="24"/>
          <w:szCs w:val="24"/>
        </w:rPr>
      </w:pPr>
    </w:p>
    <w:p w14:paraId="0806732B">
      <w:pPr>
        <w:ind w:firstLine="480" w:firstLineChars="200"/>
        <w:jc w:val="right"/>
        <w:rPr>
          <w:rFonts w:hint="default" w:ascii="宋体" w:hAnsi="宋体" w:eastAsia="宋体" w:cs="宋体"/>
          <w:sz w:val="24"/>
          <w:szCs w:val="24"/>
        </w:rPr>
      </w:pPr>
    </w:p>
    <w:p w14:paraId="2179FADC">
      <w:pPr>
        <w:ind w:firstLine="480" w:firstLineChars="200"/>
        <w:jc w:val="right"/>
        <w:rPr>
          <w:rFonts w:hint="default" w:ascii="宋体" w:hAnsi="宋体" w:eastAsia="宋体" w:cs="宋体"/>
          <w:sz w:val="24"/>
          <w:szCs w:val="24"/>
        </w:rPr>
      </w:pPr>
    </w:p>
    <w:p w14:paraId="43DFB14C">
      <w:pPr>
        <w:ind w:firstLine="480" w:firstLineChars="200"/>
        <w:jc w:val="right"/>
        <w:rPr>
          <w:rFonts w:hint="default" w:ascii="宋体" w:hAnsi="宋体" w:eastAsia="宋体" w:cs="宋体"/>
          <w:sz w:val="24"/>
          <w:szCs w:val="24"/>
        </w:rPr>
      </w:pPr>
    </w:p>
    <w:p w14:paraId="7046D267">
      <w:pPr>
        <w:ind w:firstLine="480" w:firstLineChars="200"/>
        <w:jc w:val="right"/>
        <w:rPr>
          <w:rFonts w:hint="default" w:ascii="宋体" w:hAnsi="宋体" w:eastAsia="宋体" w:cs="宋体"/>
          <w:sz w:val="24"/>
          <w:szCs w:val="24"/>
        </w:rPr>
      </w:pPr>
    </w:p>
    <w:p w14:paraId="4A07C2AA">
      <w:pPr>
        <w:ind w:firstLine="480" w:firstLineChars="200"/>
        <w:jc w:val="right"/>
        <w:rPr>
          <w:rFonts w:hint="default" w:ascii="宋体" w:hAnsi="宋体" w:eastAsia="宋体" w:cs="宋体"/>
          <w:sz w:val="24"/>
          <w:szCs w:val="24"/>
        </w:rPr>
      </w:pPr>
    </w:p>
    <w:p w14:paraId="4F971A0B">
      <w:pPr>
        <w:ind w:firstLine="480" w:firstLineChars="200"/>
        <w:jc w:val="right"/>
        <w:rPr>
          <w:rFonts w:hint="default" w:ascii="宋体" w:hAnsi="宋体" w:eastAsia="宋体" w:cs="宋体"/>
          <w:sz w:val="24"/>
          <w:szCs w:val="24"/>
        </w:rPr>
      </w:pPr>
    </w:p>
    <w:p w14:paraId="0B8EA247">
      <w:pPr>
        <w:ind w:firstLine="480" w:firstLineChars="200"/>
        <w:jc w:val="right"/>
        <w:rPr>
          <w:rFonts w:hint="default" w:ascii="宋体" w:hAnsi="宋体" w:eastAsia="宋体" w:cs="宋体"/>
          <w:sz w:val="24"/>
          <w:szCs w:val="24"/>
        </w:rPr>
      </w:pPr>
      <w:r>
        <w:rPr>
          <w:rFonts w:hint="default" w:ascii="宋体" w:hAnsi="宋体" w:eastAsia="宋体" w:cs="宋体"/>
          <w:sz w:val="24"/>
          <w:szCs w:val="24"/>
        </w:rPr>
        <w:t>《文物数字资源 第</w:t>
      </w:r>
      <w:r>
        <w:rPr>
          <w:rFonts w:hint="eastAsia" w:ascii="宋体" w:hAnsi="宋体" w:eastAsia="宋体" w:cs="宋体"/>
          <w:sz w:val="24"/>
          <w:szCs w:val="24"/>
          <w:lang w:val="en-US" w:eastAsia="zh-CN"/>
        </w:rPr>
        <w:t>3</w:t>
      </w:r>
      <w:bookmarkStart w:id="0" w:name="_GoBack"/>
      <w:bookmarkEnd w:id="0"/>
      <w:r>
        <w:rPr>
          <w:rFonts w:hint="default" w:ascii="宋体" w:hAnsi="宋体" w:eastAsia="宋体" w:cs="宋体"/>
          <w:sz w:val="24"/>
          <w:szCs w:val="24"/>
        </w:rPr>
        <w:t>部分：石窟寺类三维数字资源元数据》编制工作组</w:t>
      </w:r>
    </w:p>
    <w:p w14:paraId="71734716">
      <w:pPr>
        <w:ind w:firstLine="480" w:firstLineChars="200"/>
        <w:jc w:val="right"/>
        <w:rPr>
          <w:rFonts w:hint="default" w:ascii="宋体" w:hAnsi="宋体" w:eastAsia="宋体" w:cs="宋体"/>
          <w:sz w:val="24"/>
          <w:szCs w:val="24"/>
        </w:rPr>
      </w:pPr>
      <w:r>
        <w:rPr>
          <w:rFonts w:hint="default" w:ascii="宋体" w:hAnsi="宋体" w:eastAsia="宋体" w:cs="宋体"/>
          <w:sz w:val="24"/>
          <w:szCs w:val="24"/>
        </w:rPr>
        <w:t xml:space="preserve"> 202</w:t>
      </w:r>
      <w:r>
        <w:rPr>
          <w:rFonts w:hint="eastAsia" w:ascii="宋体" w:hAnsi="宋体" w:eastAsia="宋体" w:cs="宋体"/>
          <w:sz w:val="24"/>
          <w:szCs w:val="24"/>
          <w:lang w:val="en-US" w:eastAsia="zh-CN"/>
        </w:rPr>
        <w:t>6</w:t>
      </w:r>
      <w:r>
        <w:rPr>
          <w:rFonts w:hint="default" w:ascii="宋体" w:hAnsi="宋体" w:eastAsia="宋体" w:cs="宋体"/>
          <w:sz w:val="24"/>
          <w:szCs w:val="24"/>
        </w:rPr>
        <w:t xml:space="preserve"> 年</w:t>
      </w:r>
      <w:r>
        <w:rPr>
          <w:rFonts w:hint="eastAsia" w:ascii="宋体" w:hAnsi="宋体" w:eastAsia="宋体" w:cs="宋体"/>
          <w:sz w:val="24"/>
          <w:szCs w:val="24"/>
          <w:lang w:val="en-US" w:eastAsia="zh-CN"/>
        </w:rPr>
        <w:t>7</w:t>
      </w:r>
      <w:r>
        <w:rPr>
          <w:rFonts w:hint="default" w:ascii="宋体" w:hAnsi="宋体" w:eastAsia="宋体" w:cs="宋体"/>
          <w:sz w:val="24"/>
          <w:szCs w:val="24"/>
        </w:rPr>
        <w:t>月</w:t>
      </w:r>
      <w:r>
        <w:rPr>
          <w:rFonts w:hint="eastAsia" w:ascii="宋体" w:hAnsi="宋体" w:eastAsia="宋体" w:cs="宋体"/>
          <w:sz w:val="24"/>
          <w:szCs w:val="24"/>
          <w:lang w:val="en-US" w:eastAsia="zh-CN"/>
        </w:rPr>
        <w:t>29</w:t>
      </w:r>
      <w:r>
        <w:rPr>
          <w:rFonts w:hint="default" w:ascii="宋体" w:hAnsi="宋体" w:eastAsia="宋体" w:cs="宋体"/>
          <w:sz w:val="24"/>
          <w:szCs w:val="24"/>
        </w:rPr>
        <w:t>日</w:t>
      </w:r>
    </w:p>
    <w:p w14:paraId="1FD4F9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F0FB9"/>
    <w:rsid w:val="34FA181B"/>
    <w:rsid w:val="3C70696F"/>
    <w:rsid w:val="4EDF0FB9"/>
    <w:rsid w:val="51EF34DC"/>
    <w:rsid w:val="5C3B1EE4"/>
    <w:rsid w:val="63253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7373</Words>
  <Characters>7868</Characters>
  <Lines>0</Lines>
  <Paragraphs>0</Paragraphs>
  <TotalTime>9</TotalTime>
  <ScaleCrop>false</ScaleCrop>
  <LinksUpToDate>false</LinksUpToDate>
  <CharactersWithSpaces>7965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2026-07-27T08:04:00Z</dcterms:created>
  <dc:creator>HELLO</dc:creator>
  <cp:lastModifiedBy>HELLO</cp:lastModifiedBy>
  <dcterms:modified xsi:type="dcterms:W3CDTF">2026-08-03T03:06:56Z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B946DDABA5E9455887AA53C08F6F44EF_11</vt:lpwstr>
  </property>
  <property fmtid="{D5CDD505-2E9C-101B-9397-08002B2CF9AE}" pid="4" name="KSOTemplateDocerSaveRecord">
    <vt:lpwstr>eyJoZGlkIjoiYTczODFkMDRmZDUyMWNjNzdhODJhODIxZmYzMmY3MDYiLCJ1c2VySWQiOiIxMTU1NTY1MDcwIn0=</vt:lpwstr>
  </property>
</Properties>
</file>