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A7D52">
      <w:pPr>
        <w:keepNext w:val="0"/>
        <w:keepLines w:val="0"/>
        <w:widowControl/>
        <w:suppressLineNumbers w:val="0"/>
        <w:jc w:val="left"/>
      </w:pPr>
      <w:r>
        <w:rPr>
          <w:rFonts w:ascii="黑体" w:hAnsi="宋体" w:eastAsia="黑体" w:cs="黑体"/>
          <w:color w:val="000000"/>
          <w:kern w:val="0"/>
          <w:sz w:val="21"/>
          <w:szCs w:val="21"/>
          <w:lang w:val="en-US" w:eastAsia="zh-CN" w:bidi="ar"/>
        </w:rPr>
        <w:t xml:space="preserve">ICS 35.240.30 </w:t>
      </w:r>
    </w:p>
    <w:p w14:paraId="3BED711E">
      <w:pPr>
        <w:keepNext w:val="0"/>
        <w:keepLines w:val="0"/>
        <w:widowControl/>
        <w:suppressLineNumbers w:val="0"/>
        <w:jc w:val="left"/>
      </w:pPr>
      <w:r>
        <w:rPr>
          <w:rFonts w:hint="eastAsia" w:ascii="黑体" w:hAnsi="宋体" w:eastAsia="黑体" w:cs="黑体"/>
          <w:color w:val="000000"/>
          <w:kern w:val="0"/>
          <w:sz w:val="21"/>
          <w:szCs w:val="21"/>
          <w:lang w:val="en-US" w:eastAsia="zh-CN" w:bidi="ar"/>
        </w:rPr>
        <w:t xml:space="preserve">CCS </w:t>
      </w:r>
      <w:r>
        <w:rPr>
          <w:rFonts w:ascii="Calibri" w:hAnsi="Calibri" w:eastAsia="宋体" w:cs="Calibri"/>
          <w:color w:val="000000"/>
          <w:kern w:val="0"/>
          <w:sz w:val="21"/>
          <w:szCs w:val="21"/>
          <w:lang w:val="en-US" w:eastAsia="zh-CN" w:bidi="ar"/>
        </w:rPr>
        <w:t xml:space="preserve">L70 </w:t>
      </w:r>
    </w:p>
    <w:p w14:paraId="4E79EFDF">
      <w:pPr>
        <w:keepNext w:val="0"/>
        <w:keepLines w:val="0"/>
        <w:widowControl/>
        <w:suppressLineNumbers w:val="0"/>
        <w:jc w:val="distribute"/>
        <w:rPr>
          <w:rFonts w:ascii="微软雅黑" w:hAnsi="微软雅黑" w:eastAsia="微软雅黑" w:cs="微软雅黑"/>
          <w:b/>
          <w:bCs/>
          <w:color w:val="000000"/>
          <w:kern w:val="0"/>
          <w:sz w:val="52"/>
          <w:szCs w:val="52"/>
          <w:lang w:val="en-US" w:eastAsia="zh-CN" w:bidi="ar"/>
        </w:rPr>
      </w:pPr>
    </w:p>
    <w:p w14:paraId="35D72DE9">
      <w:pPr>
        <w:keepNext w:val="0"/>
        <w:keepLines w:val="0"/>
        <w:widowControl/>
        <w:suppressLineNumbers w:val="0"/>
        <w:jc w:val="distribute"/>
      </w:pPr>
      <w:r>
        <w:rPr>
          <w:rFonts w:ascii="微软雅黑" w:hAnsi="微软雅黑" w:eastAsia="微软雅黑" w:cs="微软雅黑"/>
          <w:b/>
          <w:bCs/>
          <w:color w:val="000000"/>
          <w:kern w:val="0"/>
          <w:sz w:val="52"/>
          <w:szCs w:val="52"/>
          <w:lang w:val="en-US" w:eastAsia="zh-CN" w:bidi="ar"/>
        </w:rPr>
        <w:t>团体标准</w:t>
      </w:r>
    </w:p>
    <w:p w14:paraId="7243ABD8">
      <w:pPr>
        <w:spacing w:before="169" w:line="221" w:lineRule="auto"/>
        <w:rPr>
          <w:rFonts w:ascii="黑体" w:hAnsi="黑体" w:eastAsia="黑体" w:cs="黑体"/>
          <w:spacing w:val="-1"/>
          <w:sz w:val="52"/>
          <w:szCs w:val="52"/>
        </w:rPr>
      </w:pPr>
    </w:p>
    <w:p w14:paraId="5527635B">
      <w:pPr>
        <w:spacing w:before="169" w:line="221" w:lineRule="auto"/>
        <w:rPr>
          <w:rFonts w:ascii="黑体" w:hAnsi="黑体" w:eastAsia="黑体" w:cs="黑体"/>
          <w:spacing w:val="-1"/>
          <w:sz w:val="52"/>
          <w:szCs w:val="52"/>
        </w:rPr>
      </w:pPr>
    </w:p>
    <w:p w14:paraId="16A98E85">
      <w:pPr>
        <w:jc w:val="center"/>
        <w:rPr>
          <w:rFonts w:hint="eastAsia" w:ascii="微软雅黑" w:hAnsi="微软雅黑" w:eastAsia="微软雅黑" w:cs="微软雅黑"/>
          <w:sz w:val="48"/>
          <w:szCs w:val="56"/>
        </w:rPr>
      </w:pPr>
      <w:r>
        <w:rPr>
          <w:rFonts w:hint="eastAsia" w:ascii="微软雅黑" w:hAnsi="微软雅黑" w:eastAsia="微软雅黑" w:cs="微软雅黑"/>
          <w:sz w:val="48"/>
          <w:szCs w:val="56"/>
        </w:rPr>
        <w:t>石窟寺类文物三维数据体系建设规范</w:t>
      </w:r>
    </w:p>
    <w:p w14:paraId="15B2B0A4">
      <w:pPr>
        <w:jc w:val="center"/>
        <w:rPr>
          <w:rFonts w:hint="default" w:ascii="Times New Roman" w:hAnsi="Times New Roman" w:cs="Times New Roman"/>
        </w:rPr>
      </w:pPr>
      <w:r>
        <w:rPr>
          <w:rFonts w:hint="default" w:ascii="Times New Roman" w:hAnsi="Times New Roman" w:cs="Times New Roman"/>
        </w:rPr>
        <w:t>Construction specification for 3D data system of grotto temple cultural relics</w:t>
      </w:r>
    </w:p>
    <w:p w14:paraId="0996A0E5">
      <w:pPr>
        <w:jc w:val="center"/>
      </w:pPr>
      <w:r>
        <w:t>（</w:t>
      </w:r>
      <w:r>
        <w:rPr>
          <w:rFonts w:hint="eastAsia"/>
          <w:lang w:val="en-US" w:eastAsia="zh-CN"/>
        </w:rPr>
        <w:t>征求意见稿</w:t>
      </w:r>
      <w:r>
        <w:t>）</w:t>
      </w:r>
    </w:p>
    <w:p w14:paraId="708A6ED6">
      <w:pPr>
        <w:jc w:val="center"/>
      </w:pPr>
    </w:p>
    <w:p w14:paraId="6EEFDDBA">
      <w:pPr>
        <w:jc w:val="center"/>
      </w:pPr>
    </w:p>
    <w:p w14:paraId="134047A7">
      <w:pPr>
        <w:jc w:val="center"/>
      </w:pPr>
    </w:p>
    <w:p w14:paraId="2118EFAF">
      <w:pPr>
        <w:jc w:val="center"/>
      </w:pPr>
    </w:p>
    <w:p w14:paraId="7AF5F3C3">
      <w:pPr>
        <w:jc w:val="center"/>
      </w:pPr>
    </w:p>
    <w:p w14:paraId="3AEBEEA3">
      <w:pPr>
        <w:jc w:val="center"/>
      </w:pPr>
    </w:p>
    <w:p w14:paraId="0A9E199F">
      <w:pPr>
        <w:jc w:val="center"/>
      </w:pPr>
    </w:p>
    <w:p w14:paraId="325ECBD6">
      <w:pPr>
        <w:jc w:val="center"/>
      </w:pPr>
    </w:p>
    <w:p w14:paraId="6A0AF842">
      <w:pPr>
        <w:jc w:val="center"/>
      </w:pPr>
    </w:p>
    <w:p w14:paraId="19E4CBE5">
      <w:pPr>
        <w:jc w:val="center"/>
      </w:pPr>
    </w:p>
    <w:p w14:paraId="268FBA17">
      <w:pPr>
        <w:jc w:val="center"/>
      </w:pPr>
    </w:p>
    <w:p w14:paraId="49D32C35">
      <w:pPr>
        <w:jc w:val="center"/>
      </w:pPr>
    </w:p>
    <w:p w14:paraId="3694E3A9">
      <w:pPr>
        <w:jc w:val="center"/>
      </w:pPr>
    </w:p>
    <w:p w14:paraId="2A860541">
      <w:pPr>
        <w:jc w:val="center"/>
      </w:pPr>
    </w:p>
    <w:p w14:paraId="7C370CBD">
      <w:pPr>
        <w:jc w:val="center"/>
      </w:pPr>
    </w:p>
    <w:p w14:paraId="4B86003E">
      <w:pPr>
        <w:jc w:val="center"/>
      </w:pPr>
    </w:p>
    <w:p w14:paraId="4F5440DE">
      <w:pPr>
        <w:jc w:val="center"/>
      </w:pPr>
    </w:p>
    <w:p w14:paraId="61115B97">
      <w:pPr>
        <w:jc w:val="center"/>
      </w:pPr>
    </w:p>
    <w:p w14:paraId="7EDF0943">
      <w:pPr>
        <w:jc w:val="both"/>
      </w:pPr>
    </w:p>
    <w:p w14:paraId="5A3003FC">
      <w:pPr>
        <w:keepNext w:val="0"/>
        <w:keepLines w:val="0"/>
        <w:widowControl/>
        <w:suppressLineNumbers w:val="0"/>
        <w:jc w:val="center"/>
      </w:pPr>
      <w:r>
        <w:rPr>
          <w:rFonts w:hint="eastAsia" w:ascii="黑体" w:hAnsi="宋体" w:eastAsia="黑体" w:cs="黑体"/>
          <w:color w:val="000000"/>
          <w:kern w:val="0"/>
          <w:sz w:val="28"/>
          <w:szCs w:val="28"/>
          <w:lang w:val="en-US" w:eastAsia="zh-CN" w:bidi="ar"/>
        </w:rPr>
        <w:t>2025-XX-XX 发布                          2025-XX-XX 实施</w:t>
      </w:r>
    </w:p>
    <w:p w14:paraId="076D365A">
      <w:pPr>
        <w:keepNext w:val="0"/>
        <w:keepLines w:val="0"/>
        <w:widowControl/>
        <w:suppressLineNumbers w:val="0"/>
        <w:jc w:val="center"/>
      </w:pPr>
      <w:r>
        <w:rPr>
          <w:rFonts w:hint="eastAsia" w:ascii="黑体" w:hAnsi="宋体" w:eastAsia="黑体" w:cs="黑体"/>
          <w:color w:val="000000"/>
          <w:kern w:val="0"/>
          <w:sz w:val="28"/>
          <w:szCs w:val="28"/>
          <w:lang w:val="en-US" w:eastAsia="zh-CN" w:bidi="ar"/>
        </w:rPr>
        <w:t>中国电子学会 发 布</w:t>
      </w:r>
    </w:p>
    <w:p w14:paraId="7F15700E">
      <w:pPr>
        <w:sectPr>
          <w:footerReference r:id="rId3" w:type="default"/>
          <w:pgSz w:w="11906" w:h="16838"/>
          <w:pgMar w:top="1440" w:right="1800" w:bottom="1440" w:left="1800" w:header="851" w:footer="992" w:gutter="0"/>
          <w:cols w:space="425" w:num="1"/>
          <w:docGrid w:type="lines" w:linePitch="312" w:charSpace="0"/>
        </w:sectPr>
      </w:pPr>
    </w:p>
    <w:p w14:paraId="40110EB9"/>
    <w:p w14:paraId="4E6B4CF4">
      <w:pPr>
        <w:bidi w:val="0"/>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目   次</w:t>
      </w:r>
    </w:p>
    <w:sdt>
      <w:sdtPr>
        <w:rPr>
          <w:rFonts w:ascii="宋体" w:hAnsi="宋体" w:eastAsia="宋体" w:cstheme="minorBidi"/>
          <w:kern w:val="2"/>
          <w:sz w:val="21"/>
          <w:szCs w:val="24"/>
          <w:lang w:val="en-US" w:eastAsia="zh-CN" w:bidi="ar-SA"/>
        </w:rPr>
        <w:id w:val="147481451"/>
        <w15:color w:val="DBDBDB"/>
        <w:docPartObj>
          <w:docPartGallery w:val="Table of Contents"/>
          <w:docPartUnique/>
        </w:docPartObj>
      </w:sdtPr>
      <w:sdtEndPr>
        <w:rPr>
          <w:rFonts w:hint="eastAsia" w:asciiTheme="minorHAnsi" w:hAnsiTheme="minorHAnsi" w:eastAsiaTheme="minorEastAsia" w:cstheme="minorBidi"/>
          <w:kern w:val="2"/>
          <w:sz w:val="21"/>
          <w:szCs w:val="24"/>
          <w:lang w:val="en-US" w:eastAsia="zh-CN" w:bidi="ar-SA"/>
        </w:rPr>
      </w:sdtEndPr>
      <w:sdtContent>
        <w:p w14:paraId="287D8595">
          <w:pPr>
            <w:spacing w:before="0" w:beforeLines="0" w:after="0" w:afterLines="0" w:line="240" w:lineRule="auto"/>
            <w:ind w:left="0" w:leftChars="0" w:right="0" w:rightChars="0" w:firstLine="0" w:firstLineChars="0"/>
            <w:jc w:val="center"/>
            <w:rPr>
              <w:rFonts w:hint="default"/>
              <w:lang w:val="en-US"/>
            </w:rPr>
          </w:pPr>
          <w:bookmarkStart w:id="31" w:name="_GoBack"/>
          <w:bookmarkEnd w:id="31"/>
        </w:p>
        <w:p w14:paraId="5E05A6DD">
          <w:pPr>
            <w:pStyle w:val="10"/>
            <w:tabs>
              <w:tab w:val="right" w:leader="dot" w:pos="8306"/>
            </w:tabs>
          </w:pPr>
          <w:r>
            <w:rPr>
              <w:rFonts w:hint="eastAsia" w:asciiTheme="minorHAnsi" w:hAnsiTheme="minorHAnsi" w:eastAsiaTheme="minorEastAsia" w:cstheme="minorBidi"/>
              <w:kern w:val="2"/>
              <w:sz w:val="21"/>
              <w:szCs w:val="24"/>
              <w:lang w:val="en-US" w:eastAsia="zh-CN" w:bidi="ar-SA"/>
            </w:rPr>
            <w:fldChar w:fldCharType="begin"/>
          </w:r>
          <w:r>
            <w:rPr>
              <w:rFonts w:hint="eastAsia" w:asciiTheme="minorHAnsi" w:hAnsiTheme="minorHAnsi" w:eastAsiaTheme="minorEastAsia" w:cstheme="minorBidi"/>
              <w:kern w:val="2"/>
              <w:sz w:val="21"/>
              <w:szCs w:val="24"/>
              <w:lang w:val="en-US" w:eastAsia="zh-CN" w:bidi="ar-SA"/>
            </w:rPr>
            <w:instrText xml:space="preserve">TOC \o "1-2" \h \u </w:instrText>
          </w:r>
          <w:r>
            <w:rPr>
              <w:rFonts w:hint="eastAsia" w:asciiTheme="minorHAnsi" w:hAnsiTheme="minorHAnsi" w:eastAsiaTheme="minorEastAsia" w:cstheme="minorBidi"/>
              <w:kern w:val="2"/>
              <w:sz w:val="21"/>
              <w:szCs w:val="24"/>
              <w:lang w:val="en-US" w:eastAsia="zh-CN" w:bidi="ar-SA"/>
            </w:rPr>
            <w:fldChar w:fldCharType="separate"/>
          </w: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_Toc1208 </w:instrText>
          </w:r>
          <w:r>
            <w:rPr>
              <w:rFonts w:hint="eastAsia" w:asciiTheme="minorHAnsi" w:hAnsiTheme="minorHAnsi" w:eastAsiaTheme="minorEastAsia" w:cstheme="minorBidi"/>
              <w:kern w:val="2"/>
              <w:szCs w:val="24"/>
              <w:lang w:val="en-US" w:eastAsia="zh-CN" w:bidi="ar-SA"/>
            </w:rPr>
            <w:fldChar w:fldCharType="separate"/>
          </w:r>
          <w:r>
            <w:rPr>
              <w:rFonts w:hint="eastAsia" w:ascii="黑体" w:hAnsi="黑体" w:eastAsia="黑体" w:cs="黑体"/>
              <w:bCs/>
              <w:spacing w:val="-16"/>
              <w:szCs w:val="32"/>
            </w:rPr>
            <w:t>前   言</w:t>
          </w:r>
          <w:r>
            <w:tab/>
          </w:r>
          <w:r>
            <w:fldChar w:fldCharType="begin"/>
          </w:r>
          <w:r>
            <w:instrText xml:space="preserve"> PAGEREF _Toc1208 \h </w:instrText>
          </w:r>
          <w:r>
            <w:fldChar w:fldCharType="separate"/>
          </w:r>
          <w:r>
            <w:t>II</w:t>
          </w:r>
          <w:r>
            <w:fldChar w:fldCharType="end"/>
          </w:r>
          <w:r>
            <w:rPr>
              <w:rFonts w:hint="eastAsia" w:asciiTheme="minorHAnsi" w:hAnsiTheme="minorHAnsi" w:eastAsiaTheme="minorEastAsia" w:cstheme="minorBidi"/>
              <w:kern w:val="2"/>
              <w:szCs w:val="24"/>
              <w:lang w:val="en-US" w:eastAsia="zh-CN" w:bidi="ar-SA"/>
            </w:rPr>
            <w:fldChar w:fldCharType="end"/>
          </w:r>
        </w:p>
        <w:p w14:paraId="0B939061">
          <w:pPr>
            <w:pStyle w:val="10"/>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_Toc12293 </w:instrText>
          </w:r>
          <w:r>
            <w:rPr>
              <w:rFonts w:hint="eastAsia" w:asciiTheme="minorHAnsi" w:hAnsiTheme="minorHAnsi" w:eastAsiaTheme="minorEastAsia" w:cstheme="minorBidi"/>
              <w:kern w:val="2"/>
              <w:szCs w:val="24"/>
              <w:lang w:val="en-US" w:eastAsia="zh-CN" w:bidi="ar-SA"/>
            </w:rPr>
            <w:fldChar w:fldCharType="separate"/>
          </w:r>
          <w:r>
            <w:rPr>
              <w:rFonts w:hint="eastAsia" w:ascii="黑体" w:hAnsi="黑体" w:eastAsia="黑体" w:cs="黑体"/>
              <w:bCs/>
              <w:spacing w:val="-16"/>
              <w:szCs w:val="32"/>
            </w:rPr>
            <w:t>引   言</w:t>
          </w:r>
          <w:r>
            <w:tab/>
          </w:r>
          <w:r>
            <w:fldChar w:fldCharType="begin"/>
          </w:r>
          <w:r>
            <w:instrText xml:space="preserve"> PAGEREF _Toc12293 \h </w:instrText>
          </w:r>
          <w:r>
            <w:fldChar w:fldCharType="separate"/>
          </w:r>
          <w:r>
            <w:t>III</w:t>
          </w:r>
          <w:r>
            <w:fldChar w:fldCharType="end"/>
          </w:r>
          <w:r>
            <w:rPr>
              <w:rFonts w:hint="eastAsia" w:asciiTheme="minorHAnsi" w:hAnsiTheme="minorHAnsi" w:eastAsiaTheme="minorEastAsia" w:cstheme="minorBidi"/>
              <w:kern w:val="2"/>
              <w:szCs w:val="24"/>
              <w:lang w:val="en-US" w:eastAsia="zh-CN" w:bidi="ar-SA"/>
            </w:rPr>
            <w:fldChar w:fldCharType="end"/>
          </w:r>
        </w:p>
        <w:p w14:paraId="2E0E37B8">
          <w:pPr>
            <w:pStyle w:val="10"/>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_Toc1756 </w:instrText>
          </w:r>
          <w:r>
            <w:rPr>
              <w:rFonts w:hint="eastAsia" w:asciiTheme="minorHAnsi" w:hAnsiTheme="minorHAnsi" w:eastAsiaTheme="minorEastAsia" w:cstheme="minorBidi"/>
              <w:kern w:val="2"/>
              <w:szCs w:val="24"/>
              <w:lang w:val="en-US" w:eastAsia="zh-CN" w:bidi="ar-SA"/>
            </w:rPr>
            <w:fldChar w:fldCharType="separate"/>
          </w:r>
          <w:r>
            <w:rPr>
              <w:rFonts w:hint="eastAsia" w:ascii="黑体" w:hAnsi="黑体" w:eastAsia="黑体" w:cs="黑体"/>
              <w:bCs/>
              <w:spacing w:val="-16"/>
              <w:szCs w:val="32"/>
              <w:lang w:eastAsia="en-US"/>
            </w:rPr>
            <w:t>1 范围</w:t>
          </w:r>
          <w:r>
            <w:tab/>
          </w:r>
          <w:r>
            <w:fldChar w:fldCharType="begin"/>
          </w:r>
          <w:r>
            <w:instrText xml:space="preserve"> PAGEREF _Toc1756 \h </w:instrText>
          </w:r>
          <w:r>
            <w:fldChar w:fldCharType="separate"/>
          </w:r>
          <w:r>
            <w:t>1</w:t>
          </w:r>
          <w:r>
            <w:fldChar w:fldCharType="end"/>
          </w:r>
          <w:r>
            <w:rPr>
              <w:rFonts w:hint="eastAsia" w:asciiTheme="minorHAnsi" w:hAnsiTheme="minorHAnsi" w:eastAsiaTheme="minorEastAsia" w:cstheme="minorBidi"/>
              <w:kern w:val="2"/>
              <w:szCs w:val="24"/>
              <w:lang w:val="en-US" w:eastAsia="zh-CN" w:bidi="ar-SA"/>
            </w:rPr>
            <w:fldChar w:fldCharType="end"/>
          </w:r>
        </w:p>
        <w:p w14:paraId="7E4C984F">
          <w:pPr>
            <w:pStyle w:val="10"/>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_Toc22672 </w:instrText>
          </w:r>
          <w:r>
            <w:rPr>
              <w:rFonts w:hint="eastAsia" w:asciiTheme="minorHAnsi" w:hAnsiTheme="minorHAnsi" w:eastAsiaTheme="minorEastAsia" w:cstheme="minorBidi"/>
              <w:kern w:val="2"/>
              <w:szCs w:val="24"/>
              <w:lang w:val="en-US" w:eastAsia="zh-CN" w:bidi="ar-SA"/>
            </w:rPr>
            <w:fldChar w:fldCharType="separate"/>
          </w:r>
          <w:r>
            <w:rPr>
              <w:rFonts w:hint="eastAsia" w:ascii="黑体" w:hAnsi="黑体" w:eastAsia="黑体" w:cs="黑体"/>
              <w:bCs/>
              <w:spacing w:val="-16"/>
              <w:szCs w:val="32"/>
              <w:lang w:eastAsia="en-US"/>
            </w:rPr>
            <w:t>2 规范性引用文件</w:t>
          </w:r>
          <w:r>
            <w:tab/>
          </w:r>
          <w:r>
            <w:fldChar w:fldCharType="begin"/>
          </w:r>
          <w:r>
            <w:instrText xml:space="preserve"> PAGEREF _Toc22672 \h </w:instrText>
          </w:r>
          <w:r>
            <w:fldChar w:fldCharType="separate"/>
          </w:r>
          <w:r>
            <w:t>1</w:t>
          </w:r>
          <w:r>
            <w:fldChar w:fldCharType="end"/>
          </w:r>
          <w:r>
            <w:rPr>
              <w:rFonts w:hint="eastAsia" w:asciiTheme="minorHAnsi" w:hAnsiTheme="minorHAnsi" w:eastAsiaTheme="minorEastAsia" w:cstheme="minorBidi"/>
              <w:kern w:val="2"/>
              <w:szCs w:val="24"/>
              <w:lang w:val="en-US" w:eastAsia="zh-CN" w:bidi="ar-SA"/>
            </w:rPr>
            <w:fldChar w:fldCharType="end"/>
          </w:r>
        </w:p>
        <w:p w14:paraId="4D891CC6">
          <w:pPr>
            <w:pStyle w:val="10"/>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_Toc32635 </w:instrText>
          </w:r>
          <w:r>
            <w:rPr>
              <w:rFonts w:hint="eastAsia" w:asciiTheme="minorHAnsi" w:hAnsiTheme="minorHAnsi" w:eastAsiaTheme="minorEastAsia" w:cstheme="minorBidi"/>
              <w:kern w:val="2"/>
              <w:szCs w:val="24"/>
              <w:lang w:val="en-US" w:eastAsia="zh-CN" w:bidi="ar-SA"/>
            </w:rPr>
            <w:fldChar w:fldCharType="separate"/>
          </w:r>
          <w:r>
            <w:rPr>
              <w:rFonts w:hint="default" w:ascii="黑体" w:hAnsi="黑体" w:eastAsia="黑体" w:cs="黑体"/>
              <w:bCs/>
              <w:spacing w:val="-16"/>
              <w:szCs w:val="32"/>
            </w:rPr>
            <w:t>3　术语和定义</w:t>
          </w:r>
          <w:r>
            <w:tab/>
          </w:r>
          <w:r>
            <w:fldChar w:fldCharType="begin"/>
          </w:r>
          <w:r>
            <w:instrText xml:space="preserve"> PAGEREF _Toc32635 \h </w:instrText>
          </w:r>
          <w:r>
            <w:fldChar w:fldCharType="separate"/>
          </w:r>
          <w:r>
            <w:t>1</w:t>
          </w:r>
          <w:r>
            <w:fldChar w:fldCharType="end"/>
          </w:r>
          <w:r>
            <w:rPr>
              <w:rFonts w:hint="eastAsia" w:asciiTheme="minorHAnsi" w:hAnsiTheme="minorHAnsi" w:eastAsiaTheme="minorEastAsia" w:cstheme="minorBidi"/>
              <w:kern w:val="2"/>
              <w:szCs w:val="24"/>
              <w:lang w:val="en-US" w:eastAsia="zh-CN" w:bidi="ar-SA"/>
            </w:rPr>
            <w:fldChar w:fldCharType="end"/>
          </w:r>
        </w:p>
        <w:p w14:paraId="024600BC">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_Toc6802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3.1　三维数据</w:t>
          </w:r>
          <w:r>
            <w:tab/>
          </w:r>
          <w:r>
            <w:fldChar w:fldCharType="begin"/>
          </w:r>
          <w:r>
            <w:instrText xml:space="preserve"> PAGEREF _Toc6802 \h </w:instrText>
          </w:r>
          <w:r>
            <w:fldChar w:fldCharType="separate"/>
          </w:r>
          <w:r>
            <w:t>1</w:t>
          </w:r>
          <w:r>
            <w:fldChar w:fldCharType="end"/>
          </w:r>
          <w:r>
            <w:rPr>
              <w:rFonts w:hint="eastAsia" w:asciiTheme="minorHAnsi" w:hAnsiTheme="minorHAnsi" w:eastAsiaTheme="minorEastAsia" w:cstheme="minorBidi"/>
              <w:kern w:val="2"/>
              <w:szCs w:val="24"/>
              <w:lang w:val="en-US" w:eastAsia="zh-CN" w:bidi="ar-SA"/>
            </w:rPr>
            <w:fldChar w:fldCharType="end"/>
          </w:r>
        </w:p>
        <w:p w14:paraId="7F53AF4D">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_Toc11766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3.2　点云数据</w:t>
          </w:r>
          <w:r>
            <w:tab/>
          </w:r>
          <w:r>
            <w:fldChar w:fldCharType="begin"/>
          </w:r>
          <w:r>
            <w:instrText xml:space="preserve"> PAGEREF _Toc11766 \h </w:instrText>
          </w:r>
          <w:r>
            <w:fldChar w:fldCharType="separate"/>
          </w:r>
          <w:r>
            <w:t>1</w:t>
          </w:r>
          <w:r>
            <w:fldChar w:fldCharType="end"/>
          </w:r>
          <w:r>
            <w:rPr>
              <w:rFonts w:hint="eastAsia" w:asciiTheme="minorHAnsi" w:hAnsiTheme="minorHAnsi" w:eastAsiaTheme="minorEastAsia" w:cstheme="minorBidi"/>
              <w:kern w:val="2"/>
              <w:szCs w:val="24"/>
              <w:lang w:val="en-US" w:eastAsia="zh-CN" w:bidi="ar-SA"/>
            </w:rPr>
            <w:fldChar w:fldCharType="end"/>
          </w:r>
        </w:p>
        <w:p w14:paraId="7BC7D0D3">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_Toc18749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3.3　网格模型</w:t>
          </w:r>
          <w:r>
            <w:tab/>
          </w:r>
          <w:r>
            <w:fldChar w:fldCharType="begin"/>
          </w:r>
          <w:r>
            <w:instrText xml:space="preserve"> PAGEREF _Toc18749 \h </w:instrText>
          </w:r>
          <w:r>
            <w:fldChar w:fldCharType="separate"/>
          </w:r>
          <w:r>
            <w:t>1</w:t>
          </w:r>
          <w:r>
            <w:fldChar w:fldCharType="end"/>
          </w:r>
          <w:r>
            <w:rPr>
              <w:rFonts w:hint="eastAsia" w:asciiTheme="minorHAnsi" w:hAnsiTheme="minorHAnsi" w:eastAsiaTheme="minorEastAsia" w:cstheme="minorBidi"/>
              <w:kern w:val="2"/>
              <w:szCs w:val="24"/>
              <w:lang w:val="en-US" w:eastAsia="zh-CN" w:bidi="ar-SA"/>
            </w:rPr>
            <w:fldChar w:fldCharType="end"/>
          </w:r>
        </w:p>
        <w:p w14:paraId="632184B8">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_Toc11458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3.4　纹理数据</w:t>
          </w:r>
          <w:r>
            <w:tab/>
          </w:r>
          <w:r>
            <w:fldChar w:fldCharType="begin"/>
          </w:r>
          <w:r>
            <w:instrText xml:space="preserve"> PAGEREF _Toc11458 \h </w:instrText>
          </w:r>
          <w:r>
            <w:fldChar w:fldCharType="separate"/>
          </w:r>
          <w:r>
            <w:t>2</w:t>
          </w:r>
          <w:r>
            <w:fldChar w:fldCharType="end"/>
          </w:r>
          <w:r>
            <w:rPr>
              <w:rFonts w:hint="eastAsia" w:asciiTheme="minorHAnsi" w:hAnsiTheme="minorHAnsi" w:eastAsiaTheme="minorEastAsia" w:cstheme="minorBidi"/>
              <w:kern w:val="2"/>
              <w:szCs w:val="24"/>
              <w:lang w:val="en-US" w:eastAsia="zh-CN" w:bidi="ar-SA"/>
            </w:rPr>
            <w:fldChar w:fldCharType="end"/>
          </w:r>
        </w:p>
        <w:p w14:paraId="6855D7A5">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_Toc274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3.5　数据精度</w:t>
          </w:r>
          <w:r>
            <w:tab/>
          </w:r>
          <w:r>
            <w:fldChar w:fldCharType="begin"/>
          </w:r>
          <w:r>
            <w:instrText xml:space="preserve"> PAGEREF _Toc274 \h </w:instrText>
          </w:r>
          <w:r>
            <w:fldChar w:fldCharType="separate"/>
          </w:r>
          <w:r>
            <w:t>2</w:t>
          </w:r>
          <w:r>
            <w:fldChar w:fldCharType="end"/>
          </w:r>
          <w:r>
            <w:rPr>
              <w:rFonts w:hint="eastAsia" w:asciiTheme="minorHAnsi" w:hAnsiTheme="minorHAnsi" w:eastAsiaTheme="minorEastAsia" w:cstheme="minorBidi"/>
              <w:kern w:val="2"/>
              <w:szCs w:val="24"/>
              <w:lang w:val="en-US" w:eastAsia="zh-CN" w:bidi="ar-SA"/>
            </w:rPr>
            <w:fldChar w:fldCharType="end"/>
          </w:r>
        </w:p>
        <w:p w14:paraId="124722E4">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_Toc27318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3.6　数据完整性</w:t>
          </w:r>
          <w:r>
            <w:tab/>
          </w:r>
          <w:r>
            <w:fldChar w:fldCharType="begin"/>
          </w:r>
          <w:r>
            <w:instrText xml:space="preserve"> PAGEREF _Toc27318 \h </w:instrText>
          </w:r>
          <w:r>
            <w:fldChar w:fldCharType="separate"/>
          </w:r>
          <w:r>
            <w:t>2</w:t>
          </w:r>
          <w:r>
            <w:fldChar w:fldCharType="end"/>
          </w:r>
          <w:r>
            <w:rPr>
              <w:rFonts w:hint="eastAsia" w:asciiTheme="minorHAnsi" w:hAnsiTheme="minorHAnsi" w:eastAsiaTheme="minorEastAsia" w:cstheme="minorBidi"/>
              <w:kern w:val="2"/>
              <w:szCs w:val="24"/>
              <w:lang w:val="en-US" w:eastAsia="zh-CN" w:bidi="ar-SA"/>
            </w:rPr>
            <w:fldChar w:fldCharType="end"/>
          </w:r>
        </w:p>
        <w:p w14:paraId="07C29C31">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_Toc4224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3.7　数据分辨率</w:t>
          </w:r>
          <w:r>
            <w:tab/>
          </w:r>
          <w:r>
            <w:fldChar w:fldCharType="begin"/>
          </w:r>
          <w:r>
            <w:instrText xml:space="preserve"> PAGEREF _Toc4224 \h </w:instrText>
          </w:r>
          <w:r>
            <w:fldChar w:fldCharType="separate"/>
          </w:r>
          <w:r>
            <w:t>2</w:t>
          </w:r>
          <w:r>
            <w:fldChar w:fldCharType="end"/>
          </w:r>
          <w:r>
            <w:rPr>
              <w:rFonts w:hint="eastAsia" w:asciiTheme="minorHAnsi" w:hAnsiTheme="minorHAnsi" w:eastAsiaTheme="minorEastAsia" w:cstheme="minorBidi"/>
              <w:kern w:val="2"/>
              <w:szCs w:val="24"/>
              <w:lang w:val="en-US" w:eastAsia="zh-CN" w:bidi="ar-SA"/>
            </w:rPr>
            <w:fldChar w:fldCharType="end"/>
          </w:r>
        </w:p>
        <w:p w14:paraId="7C7D0DA1">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_Toc29613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3.8　数据坐标系</w:t>
          </w:r>
          <w:r>
            <w:tab/>
          </w:r>
          <w:r>
            <w:fldChar w:fldCharType="begin"/>
          </w:r>
          <w:r>
            <w:instrText xml:space="preserve"> PAGEREF _Toc29613 \h </w:instrText>
          </w:r>
          <w:r>
            <w:fldChar w:fldCharType="separate"/>
          </w:r>
          <w:r>
            <w:t>2</w:t>
          </w:r>
          <w:r>
            <w:fldChar w:fldCharType="end"/>
          </w:r>
          <w:r>
            <w:rPr>
              <w:rFonts w:hint="eastAsia" w:asciiTheme="minorHAnsi" w:hAnsiTheme="minorHAnsi" w:eastAsiaTheme="minorEastAsia" w:cstheme="minorBidi"/>
              <w:kern w:val="2"/>
              <w:szCs w:val="24"/>
              <w:lang w:val="en-US" w:eastAsia="zh-CN" w:bidi="ar-SA"/>
            </w:rPr>
            <w:fldChar w:fldCharType="end"/>
          </w:r>
        </w:p>
        <w:p w14:paraId="326C22A5">
          <w:pPr>
            <w:pStyle w:val="10"/>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_Toc5754 </w:instrText>
          </w:r>
          <w:r>
            <w:rPr>
              <w:rFonts w:hint="eastAsia" w:asciiTheme="minorHAnsi" w:hAnsiTheme="minorHAnsi" w:eastAsiaTheme="minorEastAsia" w:cstheme="minorBidi"/>
              <w:kern w:val="2"/>
              <w:szCs w:val="24"/>
              <w:lang w:val="en-US" w:eastAsia="zh-CN" w:bidi="ar-SA"/>
            </w:rPr>
            <w:fldChar w:fldCharType="separate"/>
          </w:r>
          <w:r>
            <w:rPr>
              <w:rFonts w:hint="default" w:ascii="黑体" w:hAnsi="黑体" w:eastAsia="黑体" w:cs="黑体"/>
              <w:bCs/>
              <w:spacing w:val="-16"/>
              <w:szCs w:val="32"/>
            </w:rPr>
            <w:t>4　三维数据分类</w:t>
          </w:r>
          <w:r>
            <w:tab/>
          </w:r>
          <w:r>
            <w:fldChar w:fldCharType="begin"/>
          </w:r>
          <w:r>
            <w:instrText xml:space="preserve"> PAGEREF _Toc5754 \h </w:instrText>
          </w:r>
          <w:r>
            <w:fldChar w:fldCharType="separate"/>
          </w:r>
          <w:r>
            <w:t>2</w:t>
          </w:r>
          <w:r>
            <w:fldChar w:fldCharType="end"/>
          </w:r>
          <w:r>
            <w:rPr>
              <w:rFonts w:hint="eastAsia" w:asciiTheme="minorHAnsi" w:hAnsiTheme="minorHAnsi" w:eastAsiaTheme="minorEastAsia" w:cstheme="minorBidi"/>
              <w:kern w:val="2"/>
              <w:szCs w:val="24"/>
              <w:lang w:val="en-US" w:eastAsia="zh-CN" w:bidi="ar-SA"/>
            </w:rPr>
            <w:fldChar w:fldCharType="end"/>
          </w:r>
        </w:p>
        <w:p w14:paraId="32DDFD35">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_Toc11082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4.1　按数据来源分类</w:t>
          </w:r>
          <w:r>
            <w:tab/>
          </w:r>
          <w:r>
            <w:fldChar w:fldCharType="begin"/>
          </w:r>
          <w:r>
            <w:instrText xml:space="preserve"> PAGEREF _Toc11082 \h </w:instrText>
          </w:r>
          <w:r>
            <w:fldChar w:fldCharType="separate"/>
          </w:r>
          <w:r>
            <w:t>2</w:t>
          </w:r>
          <w:r>
            <w:fldChar w:fldCharType="end"/>
          </w:r>
          <w:r>
            <w:rPr>
              <w:rFonts w:hint="eastAsia" w:asciiTheme="minorHAnsi" w:hAnsiTheme="minorHAnsi" w:eastAsiaTheme="minorEastAsia" w:cstheme="minorBidi"/>
              <w:kern w:val="2"/>
              <w:szCs w:val="24"/>
              <w:lang w:val="en-US" w:eastAsia="zh-CN" w:bidi="ar-SA"/>
            </w:rPr>
            <w:fldChar w:fldCharType="end"/>
          </w:r>
        </w:p>
        <w:p w14:paraId="0F5CA3C9">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_Toc3748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4.2　按数据内容分类</w:t>
          </w:r>
          <w:r>
            <w:tab/>
          </w:r>
          <w:r>
            <w:fldChar w:fldCharType="begin"/>
          </w:r>
          <w:r>
            <w:instrText xml:space="preserve"> PAGEREF _Toc3748 \h </w:instrText>
          </w:r>
          <w:r>
            <w:fldChar w:fldCharType="separate"/>
          </w:r>
          <w:r>
            <w:t>3</w:t>
          </w:r>
          <w:r>
            <w:fldChar w:fldCharType="end"/>
          </w:r>
          <w:r>
            <w:rPr>
              <w:rFonts w:hint="eastAsia" w:asciiTheme="minorHAnsi" w:hAnsiTheme="minorHAnsi" w:eastAsiaTheme="minorEastAsia" w:cstheme="minorBidi"/>
              <w:kern w:val="2"/>
              <w:szCs w:val="24"/>
              <w:lang w:val="en-US" w:eastAsia="zh-CN" w:bidi="ar-SA"/>
            </w:rPr>
            <w:fldChar w:fldCharType="end"/>
          </w:r>
        </w:p>
        <w:p w14:paraId="21EEE7E6">
          <w:pPr>
            <w:pStyle w:val="10"/>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_Toc29418 </w:instrText>
          </w:r>
          <w:r>
            <w:rPr>
              <w:rFonts w:hint="eastAsia" w:asciiTheme="minorHAnsi" w:hAnsiTheme="minorHAnsi" w:eastAsiaTheme="minorEastAsia" w:cstheme="minorBidi"/>
              <w:kern w:val="2"/>
              <w:szCs w:val="24"/>
              <w:lang w:val="en-US" w:eastAsia="zh-CN" w:bidi="ar-SA"/>
            </w:rPr>
            <w:fldChar w:fldCharType="separate"/>
          </w:r>
          <w:r>
            <w:rPr>
              <w:rFonts w:hint="default" w:ascii="黑体" w:hAnsi="黑体" w:eastAsia="黑体" w:cs="黑体"/>
              <w:bCs/>
              <w:spacing w:val="-16"/>
              <w:szCs w:val="32"/>
            </w:rPr>
            <w:t>5　三维数据分级</w:t>
          </w:r>
          <w:r>
            <w:tab/>
          </w:r>
          <w:r>
            <w:fldChar w:fldCharType="begin"/>
          </w:r>
          <w:r>
            <w:instrText xml:space="preserve"> PAGEREF _Toc29418 \h </w:instrText>
          </w:r>
          <w:r>
            <w:fldChar w:fldCharType="separate"/>
          </w:r>
          <w:r>
            <w:t>3</w:t>
          </w:r>
          <w:r>
            <w:fldChar w:fldCharType="end"/>
          </w:r>
          <w:r>
            <w:rPr>
              <w:rFonts w:hint="eastAsia" w:asciiTheme="minorHAnsi" w:hAnsiTheme="minorHAnsi" w:eastAsiaTheme="minorEastAsia" w:cstheme="minorBidi"/>
              <w:kern w:val="2"/>
              <w:szCs w:val="24"/>
              <w:lang w:val="en-US" w:eastAsia="zh-CN" w:bidi="ar-SA"/>
            </w:rPr>
            <w:fldChar w:fldCharType="end"/>
          </w:r>
        </w:p>
        <w:p w14:paraId="7008592B">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_Toc11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5.1　精度分级</w:t>
          </w:r>
          <w:r>
            <w:tab/>
          </w:r>
          <w:r>
            <w:fldChar w:fldCharType="begin"/>
          </w:r>
          <w:r>
            <w:instrText xml:space="preserve"> PAGEREF _Toc11 \h </w:instrText>
          </w:r>
          <w:r>
            <w:fldChar w:fldCharType="separate"/>
          </w:r>
          <w:r>
            <w:t>3</w:t>
          </w:r>
          <w:r>
            <w:fldChar w:fldCharType="end"/>
          </w:r>
          <w:r>
            <w:rPr>
              <w:rFonts w:hint="eastAsia" w:asciiTheme="minorHAnsi" w:hAnsiTheme="minorHAnsi" w:eastAsiaTheme="minorEastAsia" w:cstheme="minorBidi"/>
              <w:kern w:val="2"/>
              <w:szCs w:val="24"/>
              <w:lang w:val="en-US" w:eastAsia="zh-CN" w:bidi="ar-SA"/>
            </w:rPr>
            <w:fldChar w:fldCharType="end"/>
          </w:r>
        </w:p>
        <w:p w14:paraId="0E7DB514">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_Toc15360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5.2　完整性分级</w:t>
          </w:r>
          <w:r>
            <w:tab/>
          </w:r>
          <w:r>
            <w:fldChar w:fldCharType="begin"/>
          </w:r>
          <w:r>
            <w:instrText xml:space="preserve"> PAGEREF _Toc15360 \h </w:instrText>
          </w:r>
          <w:r>
            <w:fldChar w:fldCharType="separate"/>
          </w:r>
          <w:r>
            <w:t>4</w:t>
          </w:r>
          <w:r>
            <w:fldChar w:fldCharType="end"/>
          </w:r>
          <w:r>
            <w:rPr>
              <w:rFonts w:hint="eastAsia" w:asciiTheme="minorHAnsi" w:hAnsiTheme="minorHAnsi" w:eastAsiaTheme="minorEastAsia" w:cstheme="minorBidi"/>
              <w:kern w:val="2"/>
              <w:szCs w:val="24"/>
              <w:lang w:val="en-US" w:eastAsia="zh-CN" w:bidi="ar-SA"/>
            </w:rPr>
            <w:fldChar w:fldCharType="end"/>
          </w:r>
        </w:p>
        <w:p w14:paraId="50ADACEB">
          <w:pPr>
            <w:pStyle w:val="10"/>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_Toc27270 </w:instrText>
          </w:r>
          <w:r>
            <w:rPr>
              <w:rFonts w:hint="eastAsia" w:asciiTheme="minorHAnsi" w:hAnsiTheme="minorHAnsi" w:eastAsiaTheme="minorEastAsia" w:cstheme="minorBidi"/>
              <w:kern w:val="2"/>
              <w:szCs w:val="24"/>
              <w:lang w:val="en-US" w:eastAsia="zh-CN" w:bidi="ar-SA"/>
            </w:rPr>
            <w:fldChar w:fldCharType="separate"/>
          </w:r>
          <w:r>
            <w:rPr>
              <w:rFonts w:hint="eastAsia" w:ascii="黑体" w:hAnsi="黑体" w:eastAsia="黑体" w:cs="黑体"/>
              <w:bCs/>
              <w:spacing w:val="-16"/>
              <w:szCs w:val="32"/>
              <w:lang w:eastAsia="zh-CN"/>
            </w:rPr>
            <w:t>6 三维数据标注</w:t>
          </w:r>
          <w:r>
            <w:tab/>
          </w:r>
          <w:r>
            <w:fldChar w:fldCharType="begin"/>
          </w:r>
          <w:r>
            <w:instrText xml:space="preserve"> PAGEREF _Toc27270 \h </w:instrText>
          </w:r>
          <w:r>
            <w:fldChar w:fldCharType="separate"/>
          </w:r>
          <w:r>
            <w:t>4</w:t>
          </w:r>
          <w:r>
            <w:fldChar w:fldCharType="end"/>
          </w:r>
          <w:r>
            <w:rPr>
              <w:rFonts w:hint="eastAsia" w:asciiTheme="minorHAnsi" w:hAnsiTheme="minorHAnsi" w:eastAsiaTheme="minorEastAsia" w:cstheme="minorBidi"/>
              <w:kern w:val="2"/>
              <w:szCs w:val="24"/>
              <w:lang w:val="en-US" w:eastAsia="zh-CN" w:bidi="ar-SA"/>
            </w:rPr>
            <w:fldChar w:fldCharType="end"/>
          </w:r>
        </w:p>
        <w:p w14:paraId="1E79539B">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_Toc21104 </w:instrText>
          </w:r>
          <w:r>
            <w:rPr>
              <w:rFonts w:hint="eastAsia" w:asciiTheme="minorHAnsi" w:hAnsiTheme="minorHAnsi" w:eastAsiaTheme="minorEastAsia" w:cstheme="minorBidi"/>
              <w:kern w:val="2"/>
              <w:szCs w:val="24"/>
              <w:lang w:val="en-US" w:eastAsia="zh-CN" w:bidi="ar-SA"/>
            </w:rPr>
            <w:fldChar w:fldCharType="separate"/>
          </w:r>
          <w:r>
            <w:rPr>
              <w:rFonts w:hint="eastAsia"/>
              <w:szCs w:val="22"/>
              <w:lang w:eastAsia="zh-CN"/>
            </w:rPr>
            <w:t>6.1 通用标注原则</w:t>
          </w:r>
          <w:r>
            <w:tab/>
          </w:r>
          <w:r>
            <w:fldChar w:fldCharType="begin"/>
          </w:r>
          <w:r>
            <w:instrText xml:space="preserve"> PAGEREF _Toc21104 \h </w:instrText>
          </w:r>
          <w:r>
            <w:fldChar w:fldCharType="separate"/>
          </w:r>
          <w:r>
            <w:t>4</w:t>
          </w:r>
          <w:r>
            <w:fldChar w:fldCharType="end"/>
          </w:r>
          <w:r>
            <w:rPr>
              <w:rFonts w:hint="eastAsia" w:asciiTheme="minorHAnsi" w:hAnsiTheme="minorHAnsi" w:eastAsiaTheme="minorEastAsia" w:cstheme="minorBidi"/>
              <w:kern w:val="2"/>
              <w:szCs w:val="24"/>
              <w:lang w:val="en-US" w:eastAsia="zh-CN" w:bidi="ar-SA"/>
            </w:rPr>
            <w:fldChar w:fldCharType="end"/>
          </w:r>
        </w:p>
        <w:p w14:paraId="6169DB36">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_Toc12337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6.2　标注内容</w:t>
          </w:r>
          <w:r>
            <w:tab/>
          </w:r>
          <w:r>
            <w:fldChar w:fldCharType="begin"/>
          </w:r>
          <w:r>
            <w:instrText xml:space="preserve"> PAGEREF _Toc12337 \h </w:instrText>
          </w:r>
          <w:r>
            <w:fldChar w:fldCharType="separate"/>
          </w:r>
          <w:r>
            <w:t>5</w:t>
          </w:r>
          <w:r>
            <w:fldChar w:fldCharType="end"/>
          </w:r>
          <w:r>
            <w:rPr>
              <w:rFonts w:hint="eastAsia" w:asciiTheme="minorHAnsi" w:hAnsiTheme="minorHAnsi" w:eastAsiaTheme="minorEastAsia" w:cstheme="minorBidi"/>
              <w:kern w:val="2"/>
              <w:szCs w:val="24"/>
              <w:lang w:val="en-US" w:eastAsia="zh-CN" w:bidi="ar-SA"/>
            </w:rPr>
            <w:fldChar w:fldCharType="end"/>
          </w:r>
        </w:p>
        <w:p w14:paraId="6AA96EDB">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_Toc18083 </w:instrText>
          </w:r>
          <w:r>
            <w:rPr>
              <w:rFonts w:hint="eastAsia" w:asciiTheme="minorHAnsi" w:hAnsiTheme="minorHAnsi" w:eastAsiaTheme="minorEastAsia" w:cstheme="minorBidi"/>
              <w:kern w:val="2"/>
              <w:szCs w:val="24"/>
              <w:lang w:val="en-US" w:eastAsia="zh-CN" w:bidi="ar-SA"/>
            </w:rPr>
            <w:fldChar w:fldCharType="separate"/>
          </w:r>
          <w:r>
            <w:rPr>
              <w:rFonts w:hint="default"/>
              <w:szCs w:val="22"/>
            </w:rPr>
            <w:t>6.3　标注方式</w:t>
          </w:r>
          <w:r>
            <w:tab/>
          </w:r>
          <w:r>
            <w:fldChar w:fldCharType="begin"/>
          </w:r>
          <w:r>
            <w:instrText xml:space="preserve"> PAGEREF _Toc18083 \h </w:instrText>
          </w:r>
          <w:r>
            <w:fldChar w:fldCharType="separate"/>
          </w:r>
          <w:r>
            <w:t>5</w:t>
          </w:r>
          <w:r>
            <w:fldChar w:fldCharType="end"/>
          </w:r>
          <w:r>
            <w:rPr>
              <w:rFonts w:hint="eastAsia" w:asciiTheme="minorHAnsi" w:hAnsiTheme="minorHAnsi" w:eastAsiaTheme="minorEastAsia" w:cstheme="minorBidi"/>
              <w:kern w:val="2"/>
              <w:szCs w:val="24"/>
              <w:lang w:val="en-US" w:eastAsia="zh-CN" w:bidi="ar-SA"/>
            </w:rPr>
            <w:fldChar w:fldCharType="end"/>
          </w:r>
        </w:p>
        <w:p w14:paraId="0617C6B2">
          <w:pPr>
            <w:pStyle w:val="10"/>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_Toc25500 </w:instrText>
          </w:r>
          <w:r>
            <w:rPr>
              <w:rFonts w:hint="eastAsia" w:asciiTheme="minorHAnsi" w:hAnsiTheme="minorHAnsi" w:eastAsiaTheme="minorEastAsia" w:cstheme="minorBidi"/>
              <w:kern w:val="2"/>
              <w:szCs w:val="24"/>
              <w:lang w:val="en-US" w:eastAsia="zh-CN" w:bidi="ar-SA"/>
            </w:rPr>
            <w:fldChar w:fldCharType="separate"/>
          </w:r>
          <w:r>
            <w:rPr>
              <w:rFonts w:hint="eastAsia" w:ascii="黑体" w:hAnsi="黑体" w:eastAsia="黑体" w:cs="黑体"/>
              <w:bCs/>
              <w:spacing w:val="-16"/>
              <w:szCs w:val="32"/>
              <w:lang w:eastAsia="zh-CN"/>
            </w:rPr>
            <w:t>7 数据存储与管理</w:t>
          </w:r>
          <w:r>
            <w:tab/>
          </w:r>
          <w:r>
            <w:fldChar w:fldCharType="begin"/>
          </w:r>
          <w:r>
            <w:instrText xml:space="preserve"> PAGEREF _Toc25500 \h </w:instrText>
          </w:r>
          <w:r>
            <w:fldChar w:fldCharType="separate"/>
          </w:r>
          <w:r>
            <w:t>6</w:t>
          </w:r>
          <w:r>
            <w:fldChar w:fldCharType="end"/>
          </w:r>
          <w:r>
            <w:rPr>
              <w:rFonts w:hint="eastAsia" w:asciiTheme="minorHAnsi" w:hAnsiTheme="minorHAnsi" w:eastAsiaTheme="minorEastAsia" w:cstheme="minorBidi"/>
              <w:kern w:val="2"/>
              <w:szCs w:val="24"/>
              <w:lang w:val="en-US" w:eastAsia="zh-CN" w:bidi="ar-SA"/>
            </w:rPr>
            <w:fldChar w:fldCharType="end"/>
          </w:r>
        </w:p>
        <w:p w14:paraId="12184FF2">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_Toc23920 </w:instrText>
          </w:r>
          <w:r>
            <w:rPr>
              <w:rFonts w:hint="eastAsia" w:asciiTheme="minorHAnsi" w:hAnsiTheme="minorHAnsi" w:eastAsiaTheme="minorEastAsia" w:cstheme="minorBidi"/>
              <w:kern w:val="2"/>
              <w:szCs w:val="24"/>
              <w:lang w:val="en-US" w:eastAsia="zh-CN" w:bidi="ar-SA"/>
            </w:rPr>
            <w:fldChar w:fldCharType="separate"/>
          </w:r>
          <w:r>
            <w:rPr>
              <w:rFonts w:hint="eastAsia"/>
              <w:szCs w:val="22"/>
              <w:lang w:eastAsia="zh-CN"/>
            </w:rPr>
            <w:t>7.1　存储格式</w:t>
          </w:r>
          <w:r>
            <w:tab/>
          </w:r>
          <w:r>
            <w:fldChar w:fldCharType="begin"/>
          </w:r>
          <w:r>
            <w:instrText xml:space="preserve"> PAGEREF _Toc23920 \h </w:instrText>
          </w:r>
          <w:r>
            <w:fldChar w:fldCharType="separate"/>
          </w:r>
          <w:r>
            <w:t>6</w:t>
          </w:r>
          <w:r>
            <w:fldChar w:fldCharType="end"/>
          </w:r>
          <w:r>
            <w:rPr>
              <w:rFonts w:hint="eastAsia" w:asciiTheme="minorHAnsi" w:hAnsiTheme="minorHAnsi" w:eastAsiaTheme="minorEastAsia" w:cstheme="minorBidi"/>
              <w:kern w:val="2"/>
              <w:szCs w:val="24"/>
              <w:lang w:val="en-US" w:eastAsia="zh-CN" w:bidi="ar-SA"/>
            </w:rPr>
            <w:fldChar w:fldCharType="end"/>
          </w:r>
        </w:p>
        <w:p w14:paraId="2D2513DE">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_Toc26795 </w:instrText>
          </w:r>
          <w:r>
            <w:rPr>
              <w:rFonts w:hint="eastAsia" w:asciiTheme="minorHAnsi" w:hAnsiTheme="minorHAnsi" w:eastAsiaTheme="minorEastAsia" w:cstheme="minorBidi"/>
              <w:kern w:val="2"/>
              <w:szCs w:val="24"/>
              <w:lang w:val="en-US" w:eastAsia="zh-CN" w:bidi="ar-SA"/>
            </w:rPr>
            <w:fldChar w:fldCharType="separate"/>
          </w:r>
          <w:r>
            <w:rPr>
              <w:rFonts w:hint="eastAsia"/>
              <w:szCs w:val="22"/>
              <w:lang w:eastAsia="zh-CN"/>
            </w:rPr>
            <w:t>7.2　数据备份与恢复</w:t>
          </w:r>
          <w:r>
            <w:tab/>
          </w:r>
          <w:r>
            <w:fldChar w:fldCharType="begin"/>
          </w:r>
          <w:r>
            <w:instrText xml:space="preserve"> PAGEREF _Toc26795 \h </w:instrText>
          </w:r>
          <w:r>
            <w:fldChar w:fldCharType="separate"/>
          </w:r>
          <w:r>
            <w:t>6</w:t>
          </w:r>
          <w:r>
            <w:fldChar w:fldCharType="end"/>
          </w:r>
          <w:r>
            <w:rPr>
              <w:rFonts w:hint="eastAsia" w:asciiTheme="minorHAnsi" w:hAnsiTheme="minorHAnsi" w:eastAsiaTheme="minorEastAsia" w:cstheme="minorBidi"/>
              <w:kern w:val="2"/>
              <w:szCs w:val="24"/>
              <w:lang w:val="en-US" w:eastAsia="zh-CN" w:bidi="ar-SA"/>
            </w:rPr>
            <w:fldChar w:fldCharType="end"/>
          </w:r>
        </w:p>
        <w:p w14:paraId="0A898846">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_Toc23560 </w:instrText>
          </w:r>
          <w:r>
            <w:rPr>
              <w:rFonts w:hint="eastAsia" w:asciiTheme="minorHAnsi" w:hAnsiTheme="minorHAnsi" w:eastAsiaTheme="minorEastAsia" w:cstheme="minorBidi"/>
              <w:kern w:val="2"/>
              <w:szCs w:val="24"/>
              <w:lang w:val="en-US" w:eastAsia="zh-CN" w:bidi="ar-SA"/>
            </w:rPr>
            <w:fldChar w:fldCharType="separate"/>
          </w:r>
          <w:r>
            <w:rPr>
              <w:rFonts w:hint="eastAsia"/>
              <w:szCs w:val="22"/>
              <w:lang w:eastAsia="zh-CN"/>
            </w:rPr>
            <w:t>7.3　数据访问权限管理</w:t>
          </w:r>
          <w:r>
            <w:tab/>
          </w:r>
          <w:r>
            <w:fldChar w:fldCharType="begin"/>
          </w:r>
          <w:r>
            <w:instrText xml:space="preserve"> PAGEREF _Toc23560 \h </w:instrText>
          </w:r>
          <w:r>
            <w:fldChar w:fldCharType="separate"/>
          </w:r>
          <w:r>
            <w:t>6</w:t>
          </w:r>
          <w:r>
            <w:fldChar w:fldCharType="end"/>
          </w:r>
          <w:r>
            <w:rPr>
              <w:rFonts w:hint="eastAsia" w:asciiTheme="minorHAnsi" w:hAnsiTheme="minorHAnsi" w:eastAsiaTheme="minorEastAsia" w:cstheme="minorBidi"/>
              <w:kern w:val="2"/>
              <w:szCs w:val="24"/>
              <w:lang w:val="en-US" w:eastAsia="zh-CN" w:bidi="ar-SA"/>
            </w:rPr>
            <w:fldChar w:fldCharType="end"/>
          </w:r>
        </w:p>
        <w:p w14:paraId="7A4E3165">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_Toc1334 </w:instrText>
          </w:r>
          <w:r>
            <w:rPr>
              <w:rFonts w:hint="eastAsia" w:asciiTheme="minorHAnsi" w:hAnsiTheme="minorHAnsi" w:eastAsiaTheme="minorEastAsia" w:cstheme="minorBidi"/>
              <w:kern w:val="2"/>
              <w:szCs w:val="24"/>
              <w:lang w:val="en-US" w:eastAsia="zh-CN" w:bidi="ar-SA"/>
            </w:rPr>
            <w:fldChar w:fldCharType="separate"/>
          </w:r>
          <w:r>
            <w:rPr>
              <w:rFonts w:hint="eastAsia"/>
              <w:szCs w:val="18"/>
              <w:lang w:eastAsia="zh-CN"/>
            </w:rPr>
            <w:t>8 数据质量控制</w:t>
          </w:r>
          <w:r>
            <w:tab/>
          </w:r>
          <w:r>
            <w:fldChar w:fldCharType="begin"/>
          </w:r>
          <w:r>
            <w:instrText xml:space="preserve"> PAGEREF _Toc1334 \h </w:instrText>
          </w:r>
          <w:r>
            <w:fldChar w:fldCharType="separate"/>
          </w:r>
          <w:r>
            <w:t>7</w:t>
          </w:r>
          <w:r>
            <w:fldChar w:fldCharType="end"/>
          </w:r>
          <w:r>
            <w:rPr>
              <w:rFonts w:hint="eastAsia" w:asciiTheme="minorHAnsi" w:hAnsiTheme="minorHAnsi" w:eastAsiaTheme="minorEastAsia" w:cstheme="minorBidi"/>
              <w:kern w:val="2"/>
              <w:szCs w:val="24"/>
              <w:lang w:val="en-US" w:eastAsia="zh-CN" w:bidi="ar-SA"/>
            </w:rPr>
            <w:fldChar w:fldCharType="end"/>
          </w:r>
        </w:p>
        <w:p w14:paraId="13A9A44D">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_Toc30856 </w:instrText>
          </w:r>
          <w:r>
            <w:rPr>
              <w:rFonts w:hint="eastAsia" w:asciiTheme="minorHAnsi" w:hAnsiTheme="minorHAnsi" w:eastAsiaTheme="minorEastAsia" w:cstheme="minorBidi"/>
              <w:kern w:val="2"/>
              <w:szCs w:val="24"/>
              <w:lang w:val="en-US" w:eastAsia="zh-CN" w:bidi="ar-SA"/>
            </w:rPr>
            <w:fldChar w:fldCharType="separate"/>
          </w:r>
          <w:r>
            <w:rPr>
              <w:rFonts w:hint="eastAsia"/>
              <w:szCs w:val="22"/>
              <w:lang w:eastAsia="zh-CN"/>
            </w:rPr>
            <w:t>8.1　采集过程质量控制</w:t>
          </w:r>
          <w:r>
            <w:tab/>
          </w:r>
          <w:r>
            <w:fldChar w:fldCharType="begin"/>
          </w:r>
          <w:r>
            <w:instrText xml:space="preserve"> PAGEREF _Toc30856 \h </w:instrText>
          </w:r>
          <w:r>
            <w:fldChar w:fldCharType="separate"/>
          </w:r>
          <w:r>
            <w:t>7</w:t>
          </w:r>
          <w:r>
            <w:fldChar w:fldCharType="end"/>
          </w:r>
          <w:r>
            <w:rPr>
              <w:rFonts w:hint="eastAsia" w:asciiTheme="minorHAnsi" w:hAnsiTheme="minorHAnsi" w:eastAsiaTheme="minorEastAsia" w:cstheme="minorBidi"/>
              <w:kern w:val="2"/>
              <w:szCs w:val="24"/>
              <w:lang w:val="en-US" w:eastAsia="zh-CN" w:bidi="ar-SA"/>
            </w:rPr>
            <w:fldChar w:fldCharType="end"/>
          </w:r>
        </w:p>
        <w:p w14:paraId="523F3CD6">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_Toc10220 </w:instrText>
          </w:r>
          <w:r>
            <w:rPr>
              <w:rFonts w:hint="eastAsia" w:asciiTheme="minorHAnsi" w:hAnsiTheme="minorHAnsi" w:eastAsiaTheme="minorEastAsia" w:cstheme="minorBidi"/>
              <w:kern w:val="2"/>
              <w:szCs w:val="24"/>
              <w:lang w:val="en-US" w:eastAsia="zh-CN" w:bidi="ar-SA"/>
            </w:rPr>
            <w:fldChar w:fldCharType="separate"/>
          </w:r>
          <w:r>
            <w:rPr>
              <w:rFonts w:hint="eastAsia"/>
              <w:szCs w:val="22"/>
              <w:lang w:eastAsia="zh-CN"/>
            </w:rPr>
            <w:t>8.2　数据处理质量控制</w:t>
          </w:r>
          <w:r>
            <w:tab/>
          </w:r>
          <w:r>
            <w:fldChar w:fldCharType="begin"/>
          </w:r>
          <w:r>
            <w:instrText xml:space="preserve"> PAGEREF _Toc10220 \h </w:instrText>
          </w:r>
          <w:r>
            <w:fldChar w:fldCharType="separate"/>
          </w:r>
          <w:r>
            <w:t>7</w:t>
          </w:r>
          <w:r>
            <w:fldChar w:fldCharType="end"/>
          </w:r>
          <w:r>
            <w:rPr>
              <w:rFonts w:hint="eastAsia" w:asciiTheme="minorHAnsi" w:hAnsiTheme="minorHAnsi" w:eastAsiaTheme="minorEastAsia" w:cstheme="minorBidi"/>
              <w:kern w:val="2"/>
              <w:szCs w:val="24"/>
              <w:lang w:val="en-US" w:eastAsia="zh-CN" w:bidi="ar-SA"/>
            </w:rPr>
            <w:fldChar w:fldCharType="end"/>
          </w:r>
        </w:p>
        <w:p w14:paraId="2BF9A3DC">
          <w:pPr>
            <w:pStyle w:val="11"/>
            <w:tabs>
              <w:tab w:val="right" w:leader="dot" w:pos="8306"/>
            </w:tabs>
          </w:pPr>
          <w:r>
            <w:rPr>
              <w:rFonts w:hint="eastAsia" w:asciiTheme="minorHAnsi" w:hAnsiTheme="minorHAnsi" w:eastAsiaTheme="minorEastAsia" w:cstheme="minorBidi"/>
              <w:kern w:val="2"/>
              <w:szCs w:val="24"/>
              <w:lang w:val="en-US" w:eastAsia="zh-CN" w:bidi="ar-SA"/>
            </w:rPr>
            <w:fldChar w:fldCharType="begin"/>
          </w:r>
          <w:r>
            <w:rPr>
              <w:rFonts w:hint="eastAsia" w:asciiTheme="minorHAnsi" w:hAnsiTheme="minorHAnsi" w:eastAsiaTheme="minorEastAsia" w:cstheme="minorBidi"/>
              <w:kern w:val="2"/>
              <w:szCs w:val="24"/>
              <w:lang w:val="en-US" w:eastAsia="zh-CN" w:bidi="ar-SA"/>
            </w:rPr>
            <w:instrText xml:space="preserve"> HYPERLINK \l _Toc15332 </w:instrText>
          </w:r>
          <w:r>
            <w:rPr>
              <w:rFonts w:hint="eastAsia" w:asciiTheme="minorHAnsi" w:hAnsiTheme="minorHAnsi" w:eastAsiaTheme="minorEastAsia" w:cstheme="minorBidi"/>
              <w:kern w:val="2"/>
              <w:szCs w:val="24"/>
              <w:lang w:val="en-US" w:eastAsia="zh-CN" w:bidi="ar-SA"/>
            </w:rPr>
            <w:fldChar w:fldCharType="separate"/>
          </w:r>
          <w:r>
            <w:rPr>
              <w:rFonts w:hint="eastAsia"/>
              <w:szCs w:val="18"/>
              <w:lang w:val="en-US" w:eastAsia="zh-CN"/>
            </w:rPr>
            <w:t>参考文献</w:t>
          </w:r>
          <w:r>
            <w:tab/>
          </w:r>
          <w:r>
            <w:fldChar w:fldCharType="begin"/>
          </w:r>
          <w:r>
            <w:instrText xml:space="preserve"> PAGEREF _Toc15332 \h </w:instrText>
          </w:r>
          <w:r>
            <w:fldChar w:fldCharType="separate"/>
          </w:r>
          <w:r>
            <w:t>7</w:t>
          </w:r>
          <w:r>
            <w:fldChar w:fldCharType="end"/>
          </w:r>
          <w:r>
            <w:rPr>
              <w:rFonts w:hint="eastAsia" w:asciiTheme="minorHAnsi" w:hAnsiTheme="minorHAnsi" w:eastAsiaTheme="minorEastAsia" w:cstheme="minorBidi"/>
              <w:kern w:val="2"/>
              <w:szCs w:val="24"/>
              <w:lang w:val="en-US" w:eastAsia="zh-CN" w:bidi="ar-SA"/>
            </w:rPr>
            <w:fldChar w:fldCharType="end"/>
          </w:r>
        </w:p>
        <w:p w14:paraId="37837AF3">
          <w:pPr>
            <w:jc w:val="center"/>
            <w:rPr>
              <w:rFonts w:hint="eastAsia" w:asciiTheme="minorHAnsi" w:hAnsiTheme="minorHAnsi" w:eastAsiaTheme="minorEastAsia" w:cstheme="minorBidi"/>
              <w:kern w:val="2"/>
              <w:sz w:val="21"/>
              <w:szCs w:val="24"/>
              <w:lang w:val="en-US" w:eastAsia="zh-CN" w:bidi="ar-SA"/>
            </w:rPr>
          </w:pPr>
          <w:r>
            <w:rPr>
              <w:rFonts w:hint="eastAsia" w:asciiTheme="minorHAnsi" w:hAnsiTheme="minorHAnsi" w:eastAsiaTheme="minorEastAsia" w:cstheme="minorBidi"/>
              <w:kern w:val="2"/>
              <w:szCs w:val="24"/>
              <w:lang w:val="en-US" w:eastAsia="zh-CN" w:bidi="ar-SA"/>
            </w:rPr>
            <w:fldChar w:fldCharType="end"/>
          </w:r>
        </w:p>
      </w:sdtContent>
    </w:sdt>
    <w:p w14:paraId="47C5E721">
      <w:pPr>
        <w:jc w:val="center"/>
        <w:rPr>
          <w:rFonts w:hint="eastAsia" w:asciiTheme="minorHAnsi" w:hAnsiTheme="minorHAnsi" w:eastAsiaTheme="minorEastAsia" w:cstheme="minorBidi"/>
          <w:kern w:val="2"/>
          <w:sz w:val="21"/>
          <w:szCs w:val="24"/>
          <w:lang w:val="en-US" w:eastAsia="zh-CN" w:bidi="ar-SA"/>
        </w:rPr>
      </w:pPr>
    </w:p>
    <w:p w14:paraId="7E198F64">
      <w:pPr>
        <w:jc w:val="center"/>
        <w:rPr>
          <w:rFonts w:hint="eastAsia" w:asciiTheme="minorHAnsi" w:hAnsiTheme="minorHAnsi" w:eastAsiaTheme="minorEastAsia" w:cstheme="minorBidi"/>
          <w:kern w:val="2"/>
          <w:sz w:val="21"/>
          <w:szCs w:val="24"/>
          <w:lang w:val="en-US" w:eastAsia="zh-CN" w:bidi="ar-SA"/>
        </w:rPr>
      </w:pPr>
    </w:p>
    <w:p w14:paraId="6297C7F8">
      <w:pPr>
        <w:jc w:val="center"/>
        <w:rPr>
          <w:rFonts w:hint="eastAsia" w:asciiTheme="minorHAnsi" w:hAnsiTheme="minorHAnsi" w:eastAsiaTheme="minorEastAsia" w:cstheme="minorBidi"/>
          <w:kern w:val="2"/>
          <w:sz w:val="21"/>
          <w:szCs w:val="24"/>
          <w:lang w:val="en-US" w:eastAsia="zh-CN" w:bidi="ar-SA"/>
        </w:rPr>
      </w:pPr>
    </w:p>
    <w:p w14:paraId="4BD0F8D8">
      <w:pPr>
        <w:jc w:val="center"/>
        <w:rPr>
          <w:rFonts w:hint="eastAsia" w:asciiTheme="minorHAnsi" w:hAnsiTheme="minorHAnsi" w:eastAsiaTheme="minorEastAsia" w:cstheme="minorBidi"/>
          <w:kern w:val="2"/>
          <w:sz w:val="21"/>
          <w:szCs w:val="24"/>
          <w:lang w:val="en-US" w:eastAsia="zh-CN" w:bidi="ar-SA"/>
        </w:rPr>
      </w:pPr>
    </w:p>
    <w:p w14:paraId="52BE4F36">
      <w:pPr>
        <w:jc w:val="center"/>
        <w:rPr>
          <w:rFonts w:hint="eastAsia" w:asciiTheme="minorHAnsi" w:hAnsiTheme="minorHAnsi" w:eastAsiaTheme="minorEastAsia" w:cstheme="minorBidi"/>
          <w:kern w:val="2"/>
          <w:sz w:val="21"/>
          <w:szCs w:val="24"/>
          <w:lang w:val="en-US" w:eastAsia="zh-CN" w:bidi="ar-SA"/>
        </w:rPr>
      </w:pPr>
    </w:p>
    <w:p w14:paraId="394EF2DD">
      <w:pPr>
        <w:jc w:val="center"/>
        <w:rPr>
          <w:rFonts w:hint="eastAsia" w:asciiTheme="minorHAnsi" w:hAnsiTheme="minorHAnsi" w:eastAsiaTheme="minorEastAsia" w:cstheme="minorBidi"/>
          <w:kern w:val="2"/>
          <w:sz w:val="21"/>
          <w:szCs w:val="24"/>
          <w:lang w:val="en-US" w:eastAsia="zh-CN" w:bidi="ar-SA"/>
        </w:rPr>
      </w:pPr>
    </w:p>
    <w:p w14:paraId="200BD79C">
      <w:pPr>
        <w:jc w:val="center"/>
        <w:rPr>
          <w:rFonts w:hint="eastAsia" w:asciiTheme="minorHAnsi" w:hAnsiTheme="minorHAnsi" w:eastAsiaTheme="minorEastAsia" w:cstheme="minorBidi"/>
          <w:kern w:val="2"/>
          <w:sz w:val="21"/>
          <w:szCs w:val="24"/>
          <w:lang w:val="en-US" w:eastAsia="zh-CN" w:bidi="ar-SA"/>
        </w:rPr>
      </w:pPr>
    </w:p>
    <w:p w14:paraId="78499B97">
      <w:pPr>
        <w:jc w:val="center"/>
        <w:rPr>
          <w:rFonts w:hint="eastAsia" w:asciiTheme="minorHAnsi" w:hAnsiTheme="minorHAnsi" w:eastAsiaTheme="minorEastAsia" w:cstheme="minorBidi"/>
          <w:kern w:val="2"/>
          <w:sz w:val="21"/>
          <w:szCs w:val="24"/>
          <w:lang w:val="en-US" w:eastAsia="zh-CN" w:bidi="ar-SA"/>
        </w:rPr>
      </w:pPr>
    </w:p>
    <w:p w14:paraId="23F2C97D">
      <w:pPr>
        <w:jc w:val="center"/>
        <w:rPr>
          <w:rFonts w:hint="eastAsia" w:asciiTheme="minorHAnsi" w:hAnsiTheme="minorHAnsi" w:eastAsiaTheme="minorEastAsia" w:cstheme="minorBidi"/>
          <w:kern w:val="2"/>
          <w:sz w:val="21"/>
          <w:szCs w:val="24"/>
          <w:lang w:val="en-US" w:eastAsia="zh-CN" w:bidi="ar-SA"/>
        </w:rPr>
      </w:pPr>
    </w:p>
    <w:p w14:paraId="2FA5B87C">
      <w:pPr>
        <w:spacing w:before="71" w:line="224" w:lineRule="auto"/>
        <w:jc w:val="center"/>
        <w:outlineLvl w:val="0"/>
        <w:rPr>
          <w:rFonts w:hint="eastAsia" w:ascii="黑体" w:hAnsi="黑体" w:eastAsia="黑体" w:cs="黑体"/>
          <w:b/>
          <w:bCs/>
          <w:spacing w:val="-16"/>
          <w:sz w:val="32"/>
          <w:szCs w:val="32"/>
        </w:rPr>
      </w:pPr>
      <w:bookmarkStart w:id="0" w:name="_Toc1208"/>
      <w:r>
        <w:rPr>
          <w:rFonts w:hint="eastAsia" w:ascii="黑体" w:hAnsi="黑体" w:eastAsia="黑体" w:cs="黑体"/>
          <w:b/>
          <w:bCs/>
          <w:spacing w:val="-16"/>
          <w:sz w:val="32"/>
          <w:szCs w:val="32"/>
        </w:rPr>
        <w:t>前   言</w:t>
      </w:r>
      <w:bookmarkEnd w:id="0"/>
    </w:p>
    <w:p w14:paraId="72DFAE39">
      <w:pPr>
        <w:pStyle w:val="6"/>
        <w:spacing w:line="437" w:lineRule="auto"/>
      </w:pPr>
    </w:p>
    <w:p w14:paraId="06AF9B41">
      <w:pPr>
        <w:bidi w:val="0"/>
        <w:ind w:firstLine="420" w:firstLineChars="200"/>
        <w:rPr>
          <w:rFonts w:hint="eastAsia"/>
          <w:sz w:val="21"/>
          <w:szCs w:val="21"/>
        </w:rPr>
      </w:pPr>
      <w:r>
        <w:rPr>
          <w:rFonts w:hint="eastAsia"/>
          <w:sz w:val="21"/>
          <w:szCs w:val="21"/>
        </w:rPr>
        <w:t>本文件按照GB/T1.1—2020《标准化工作导则第 1 部分：标准化文件的结构和起草规则》的规定起草。本文件由中国电子学会提出并归口。</w:t>
      </w:r>
    </w:p>
    <w:p w14:paraId="0C55E28F">
      <w:pPr>
        <w:bidi w:val="0"/>
        <w:ind w:firstLine="420" w:firstLineChars="200"/>
        <w:rPr>
          <w:rFonts w:hint="eastAsia"/>
          <w:sz w:val="21"/>
          <w:szCs w:val="21"/>
        </w:rPr>
      </w:pPr>
      <w:r>
        <w:rPr>
          <w:rFonts w:hint="eastAsia"/>
          <w:sz w:val="21"/>
          <w:szCs w:val="21"/>
        </w:rPr>
        <w:t>本文件起草单位：云冈研究院、大同云冈数字科技有限公司、中国国家博物馆、湖南大学、中国文物信息交流中心、浙江大学、武汉大学、大同煤炭职业技术学院</w:t>
      </w:r>
    </w:p>
    <w:p w14:paraId="0D71777E">
      <w:pPr>
        <w:bidi w:val="0"/>
        <w:ind w:firstLine="420" w:firstLineChars="200"/>
        <w:rPr>
          <w:rFonts w:hint="eastAsia"/>
          <w:sz w:val="21"/>
          <w:szCs w:val="21"/>
        </w:rPr>
      </w:pPr>
      <w:r>
        <w:rPr>
          <w:rFonts w:hint="eastAsia"/>
          <w:sz w:val="21"/>
          <w:szCs w:val="21"/>
        </w:rPr>
        <w:t>本文件主要起草人：宁波、谷立鹏、吴佳丽、张皓男、王家鑫、李华飙、刘芳、吴志群、刁常宇、黄先锋、左霞</w:t>
      </w:r>
    </w:p>
    <w:p w14:paraId="6840F1E9">
      <w:pPr>
        <w:bidi w:val="0"/>
        <w:ind w:firstLine="424" w:firstLineChars="200"/>
        <w:rPr>
          <w:rFonts w:ascii="宋体" w:hAnsi="宋体" w:eastAsia="宋体" w:cs="宋体"/>
          <w:spacing w:val="6"/>
          <w:sz w:val="20"/>
          <w:szCs w:val="20"/>
        </w:rPr>
      </w:pPr>
    </w:p>
    <w:p w14:paraId="2FBCFE5E">
      <w:pPr>
        <w:spacing w:line="433" w:lineRule="auto"/>
        <w:ind w:left="4" w:right="37" w:firstLine="416"/>
        <w:rPr>
          <w:rFonts w:ascii="宋体" w:hAnsi="宋体" w:eastAsia="宋体" w:cs="宋体"/>
          <w:spacing w:val="6"/>
          <w:sz w:val="20"/>
          <w:szCs w:val="20"/>
        </w:rPr>
      </w:pPr>
    </w:p>
    <w:p w14:paraId="11A4F0C6">
      <w:pPr>
        <w:spacing w:line="433" w:lineRule="auto"/>
        <w:ind w:left="4" w:right="37" w:firstLine="416"/>
        <w:rPr>
          <w:rFonts w:ascii="宋体" w:hAnsi="宋体" w:eastAsia="宋体" w:cs="宋体"/>
          <w:spacing w:val="6"/>
          <w:sz w:val="20"/>
          <w:szCs w:val="20"/>
        </w:rPr>
      </w:pPr>
    </w:p>
    <w:p w14:paraId="5D550254">
      <w:pPr>
        <w:spacing w:line="433" w:lineRule="auto"/>
        <w:ind w:left="4" w:right="37" w:firstLine="416"/>
        <w:rPr>
          <w:rFonts w:ascii="宋体" w:hAnsi="宋体" w:eastAsia="宋体" w:cs="宋体"/>
          <w:spacing w:val="6"/>
          <w:sz w:val="20"/>
          <w:szCs w:val="20"/>
        </w:rPr>
      </w:pPr>
    </w:p>
    <w:p w14:paraId="55DE5EE3">
      <w:pPr>
        <w:spacing w:line="433" w:lineRule="auto"/>
        <w:ind w:left="4" w:right="37" w:firstLine="416"/>
        <w:rPr>
          <w:rFonts w:ascii="宋体" w:hAnsi="宋体" w:eastAsia="宋体" w:cs="宋体"/>
          <w:spacing w:val="6"/>
          <w:sz w:val="20"/>
          <w:szCs w:val="20"/>
        </w:rPr>
      </w:pPr>
    </w:p>
    <w:p w14:paraId="44D0F474">
      <w:pPr>
        <w:spacing w:line="433" w:lineRule="auto"/>
        <w:ind w:left="4" w:right="37" w:firstLine="416"/>
        <w:rPr>
          <w:rFonts w:ascii="宋体" w:hAnsi="宋体" w:eastAsia="宋体" w:cs="宋体"/>
          <w:spacing w:val="6"/>
          <w:sz w:val="20"/>
          <w:szCs w:val="20"/>
        </w:rPr>
      </w:pPr>
    </w:p>
    <w:p w14:paraId="0F79B9DD">
      <w:pPr>
        <w:spacing w:line="433" w:lineRule="auto"/>
        <w:ind w:left="4" w:right="37" w:firstLine="416"/>
        <w:rPr>
          <w:rFonts w:ascii="宋体" w:hAnsi="宋体" w:eastAsia="宋体" w:cs="宋体"/>
          <w:spacing w:val="6"/>
          <w:sz w:val="20"/>
          <w:szCs w:val="20"/>
        </w:rPr>
      </w:pPr>
    </w:p>
    <w:p w14:paraId="29FE85F0">
      <w:pPr>
        <w:spacing w:line="433" w:lineRule="auto"/>
        <w:ind w:left="4" w:right="37" w:firstLine="416"/>
        <w:rPr>
          <w:rFonts w:ascii="宋体" w:hAnsi="宋体" w:eastAsia="宋体" w:cs="宋体"/>
          <w:spacing w:val="6"/>
          <w:sz w:val="20"/>
          <w:szCs w:val="20"/>
        </w:rPr>
      </w:pPr>
    </w:p>
    <w:p w14:paraId="60886B43">
      <w:pPr>
        <w:spacing w:line="433" w:lineRule="auto"/>
        <w:ind w:left="4" w:right="37" w:firstLine="416"/>
        <w:rPr>
          <w:rFonts w:ascii="宋体" w:hAnsi="宋体" w:eastAsia="宋体" w:cs="宋体"/>
          <w:spacing w:val="6"/>
          <w:sz w:val="20"/>
          <w:szCs w:val="20"/>
        </w:rPr>
      </w:pPr>
    </w:p>
    <w:p w14:paraId="0BC26C7B">
      <w:pPr>
        <w:spacing w:line="433" w:lineRule="auto"/>
        <w:ind w:left="4" w:right="37" w:firstLine="416"/>
        <w:rPr>
          <w:rFonts w:ascii="宋体" w:hAnsi="宋体" w:eastAsia="宋体" w:cs="宋体"/>
          <w:spacing w:val="6"/>
          <w:sz w:val="20"/>
          <w:szCs w:val="20"/>
        </w:rPr>
      </w:pPr>
    </w:p>
    <w:p w14:paraId="621E03C4">
      <w:pPr>
        <w:spacing w:line="433" w:lineRule="auto"/>
        <w:ind w:left="4" w:right="37" w:firstLine="416"/>
        <w:rPr>
          <w:rFonts w:ascii="宋体" w:hAnsi="宋体" w:eastAsia="宋体" w:cs="宋体"/>
          <w:spacing w:val="6"/>
          <w:sz w:val="20"/>
          <w:szCs w:val="20"/>
        </w:rPr>
      </w:pPr>
    </w:p>
    <w:p w14:paraId="46C43348">
      <w:pPr>
        <w:spacing w:line="433" w:lineRule="auto"/>
        <w:ind w:left="4" w:right="37" w:firstLine="416"/>
        <w:rPr>
          <w:rFonts w:ascii="宋体" w:hAnsi="宋体" w:eastAsia="宋体" w:cs="宋体"/>
          <w:spacing w:val="6"/>
          <w:sz w:val="20"/>
          <w:szCs w:val="20"/>
        </w:rPr>
      </w:pPr>
    </w:p>
    <w:p w14:paraId="23C2C22D">
      <w:pPr>
        <w:spacing w:line="433" w:lineRule="auto"/>
        <w:ind w:left="4" w:right="37" w:firstLine="416"/>
        <w:rPr>
          <w:rFonts w:ascii="宋体" w:hAnsi="宋体" w:eastAsia="宋体" w:cs="宋体"/>
          <w:spacing w:val="6"/>
          <w:sz w:val="20"/>
          <w:szCs w:val="20"/>
        </w:rPr>
      </w:pPr>
    </w:p>
    <w:p w14:paraId="2C0AC833">
      <w:pPr>
        <w:spacing w:line="433" w:lineRule="auto"/>
        <w:ind w:left="4" w:right="37" w:firstLine="416"/>
        <w:rPr>
          <w:rFonts w:ascii="宋体" w:hAnsi="宋体" w:eastAsia="宋体" w:cs="宋体"/>
          <w:spacing w:val="6"/>
          <w:sz w:val="20"/>
          <w:szCs w:val="20"/>
        </w:rPr>
      </w:pPr>
    </w:p>
    <w:p w14:paraId="69585D56">
      <w:pPr>
        <w:spacing w:line="433" w:lineRule="auto"/>
        <w:ind w:left="4" w:right="37" w:firstLine="416"/>
        <w:rPr>
          <w:rFonts w:ascii="宋体" w:hAnsi="宋体" w:eastAsia="宋体" w:cs="宋体"/>
          <w:spacing w:val="6"/>
          <w:sz w:val="20"/>
          <w:szCs w:val="20"/>
        </w:rPr>
      </w:pPr>
    </w:p>
    <w:p w14:paraId="6AF6DED3">
      <w:pPr>
        <w:spacing w:line="433" w:lineRule="auto"/>
        <w:ind w:left="4" w:right="37" w:firstLine="416"/>
        <w:rPr>
          <w:rFonts w:ascii="宋体" w:hAnsi="宋体" w:eastAsia="宋体" w:cs="宋体"/>
          <w:spacing w:val="6"/>
          <w:sz w:val="20"/>
          <w:szCs w:val="20"/>
        </w:rPr>
      </w:pPr>
    </w:p>
    <w:p w14:paraId="02212842">
      <w:pPr>
        <w:spacing w:line="433" w:lineRule="auto"/>
        <w:ind w:left="4" w:right="37" w:firstLine="416"/>
        <w:rPr>
          <w:rFonts w:ascii="宋体" w:hAnsi="宋体" w:eastAsia="宋体" w:cs="宋体"/>
          <w:spacing w:val="6"/>
          <w:sz w:val="20"/>
          <w:szCs w:val="20"/>
        </w:rPr>
      </w:pPr>
    </w:p>
    <w:p w14:paraId="7983FB88">
      <w:pPr>
        <w:spacing w:line="433" w:lineRule="auto"/>
        <w:ind w:left="4" w:right="37" w:firstLine="416"/>
        <w:rPr>
          <w:rFonts w:ascii="宋体" w:hAnsi="宋体" w:eastAsia="宋体" w:cs="宋体"/>
          <w:spacing w:val="6"/>
          <w:sz w:val="20"/>
          <w:szCs w:val="20"/>
        </w:rPr>
      </w:pPr>
    </w:p>
    <w:p w14:paraId="3987BA5A">
      <w:pPr>
        <w:spacing w:line="433" w:lineRule="auto"/>
        <w:ind w:left="4" w:right="37" w:firstLine="416"/>
        <w:rPr>
          <w:rFonts w:ascii="宋体" w:hAnsi="宋体" w:eastAsia="宋体" w:cs="宋体"/>
          <w:spacing w:val="6"/>
          <w:sz w:val="20"/>
          <w:szCs w:val="20"/>
        </w:rPr>
      </w:pPr>
    </w:p>
    <w:p w14:paraId="1F3BC6FA">
      <w:pPr>
        <w:spacing w:line="433" w:lineRule="auto"/>
        <w:ind w:left="4" w:right="37" w:firstLine="416"/>
        <w:rPr>
          <w:rFonts w:ascii="宋体" w:hAnsi="宋体" w:eastAsia="宋体" w:cs="宋体"/>
          <w:spacing w:val="6"/>
          <w:sz w:val="20"/>
          <w:szCs w:val="20"/>
        </w:rPr>
      </w:pPr>
    </w:p>
    <w:p w14:paraId="11890E2A">
      <w:pPr>
        <w:spacing w:before="71" w:line="224" w:lineRule="auto"/>
        <w:jc w:val="center"/>
        <w:outlineLvl w:val="0"/>
        <w:rPr>
          <w:rFonts w:hint="eastAsia" w:ascii="黑体" w:hAnsi="黑体" w:eastAsia="黑体" w:cs="黑体"/>
          <w:b/>
          <w:bCs/>
          <w:spacing w:val="-16"/>
          <w:sz w:val="32"/>
          <w:szCs w:val="32"/>
        </w:rPr>
      </w:pPr>
      <w:bookmarkStart w:id="1" w:name="_Toc12293"/>
      <w:r>
        <w:rPr>
          <w:rFonts w:hint="eastAsia" w:ascii="黑体" w:hAnsi="黑体" w:eastAsia="黑体" w:cs="黑体"/>
          <w:b/>
          <w:bCs/>
          <w:spacing w:val="-16"/>
          <w:sz w:val="32"/>
          <w:szCs w:val="32"/>
        </w:rPr>
        <w:t>引   言</w:t>
      </w:r>
      <w:bookmarkEnd w:id="1"/>
    </w:p>
    <w:p w14:paraId="4975FD3E">
      <w:pPr>
        <w:bidi w:val="0"/>
        <w:ind w:firstLine="480" w:firstLineChars="200"/>
        <w:rPr>
          <w:rFonts w:hint="eastAsia" w:ascii="Segoe UI" w:hAnsi="Segoe UI" w:eastAsia="Segoe UI" w:cs="Segoe UI"/>
          <w:i w:val="0"/>
          <w:iCs w:val="0"/>
          <w:caps w:val="0"/>
          <w:color w:val="0F1115"/>
          <w:spacing w:val="0"/>
          <w:sz w:val="24"/>
          <w:szCs w:val="24"/>
          <w:shd w:val="clear" w:fill="FFFFFF"/>
        </w:rPr>
      </w:pPr>
      <w:r>
        <w:rPr>
          <w:rFonts w:hint="eastAsia" w:ascii="Segoe UI" w:hAnsi="Segoe UI" w:eastAsia="Segoe UI" w:cs="Segoe UI"/>
          <w:i w:val="0"/>
          <w:iCs w:val="0"/>
          <w:caps w:val="0"/>
          <w:color w:val="0F1115"/>
          <w:spacing w:val="0"/>
          <w:sz w:val="24"/>
          <w:szCs w:val="24"/>
          <w:shd w:val="clear" w:fill="FFFFFF"/>
        </w:rPr>
        <w:t>本标准旨在构建一套统一且规范的石窟寺三维数据体系，通过保障数据的准确性、完整性与可用性，为石窟寺的数字档案建立、保护、学术研究、文化展示等相关工作奠定坚实可靠的数据基础。</w:t>
      </w:r>
    </w:p>
    <w:p w14:paraId="3CDE7A45">
      <w:pPr>
        <w:spacing w:line="433" w:lineRule="auto"/>
        <w:rPr>
          <w:rFonts w:ascii="宋体" w:hAnsi="宋体" w:eastAsia="宋体" w:cs="宋体"/>
          <w:sz w:val="20"/>
          <w:szCs w:val="20"/>
        </w:rPr>
      </w:pPr>
    </w:p>
    <w:p w14:paraId="635B5A20">
      <w:pPr>
        <w:spacing w:line="433" w:lineRule="auto"/>
        <w:rPr>
          <w:rFonts w:ascii="宋体" w:hAnsi="宋体" w:eastAsia="宋体" w:cs="宋体"/>
          <w:sz w:val="20"/>
          <w:szCs w:val="20"/>
        </w:rPr>
      </w:pPr>
    </w:p>
    <w:p w14:paraId="7A04654C">
      <w:pPr>
        <w:bidi w:val="0"/>
        <w:ind w:firstLine="400" w:firstLineChars="200"/>
        <w:rPr>
          <w:rFonts w:ascii="宋体" w:hAnsi="宋体" w:eastAsia="宋体" w:cs="宋体"/>
          <w:sz w:val="20"/>
          <w:szCs w:val="20"/>
        </w:rPr>
      </w:pPr>
    </w:p>
    <w:p w14:paraId="5572D8B9">
      <w:pPr>
        <w:spacing w:line="433" w:lineRule="auto"/>
        <w:rPr>
          <w:rFonts w:ascii="宋体" w:hAnsi="宋体" w:eastAsia="宋体" w:cs="宋体"/>
          <w:sz w:val="20"/>
          <w:szCs w:val="20"/>
        </w:rPr>
      </w:pPr>
    </w:p>
    <w:p w14:paraId="5607E973">
      <w:pPr>
        <w:spacing w:line="433" w:lineRule="auto"/>
        <w:rPr>
          <w:rFonts w:ascii="宋体" w:hAnsi="宋体" w:eastAsia="宋体" w:cs="宋体"/>
          <w:sz w:val="20"/>
          <w:szCs w:val="20"/>
        </w:rPr>
      </w:pPr>
    </w:p>
    <w:p w14:paraId="6FD567F9">
      <w:pPr>
        <w:spacing w:line="433" w:lineRule="auto"/>
        <w:rPr>
          <w:rFonts w:ascii="宋体" w:hAnsi="宋体" w:eastAsia="宋体" w:cs="宋体"/>
          <w:sz w:val="20"/>
          <w:szCs w:val="20"/>
        </w:rPr>
      </w:pPr>
    </w:p>
    <w:p w14:paraId="57AA1C26">
      <w:pPr>
        <w:spacing w:line="433" w:lineRule="auto"/>
        <w:rPr>
          <w:rFonts w:ascii="宋体" w:hAnsi="宋体" w:eastAsia="宋体" w:cs="宋体"/>
          <w:sz w:val="20"/>
          <w:szCs w:val="20"/>
        </w:rPr>
      </w:pPr>
    </w:p>
    <w:p w14:paraId="4B4CE658">
      <w:pPr>
        <w:spacing w:line="433" w:lineRule="auto"/>
        <w:rPr>
          <w:rFonts w:ascii="宋体" w:hAnsi="宋体" w:eastAsia="宋体" w:cs="宋体"/>
          <w:sz w:val="20"/>
          <w:szCs w:val="20"/>
        </w:rPr>
      </w:pPr>
    </w:p>
    <w:p w14:paraId="02324BC0">
      <w:pPr>
        <w:spacing w:line="433" w:lineRule="auto"/>
        <w:rPr>
          <w:rFonts w:ascii="宋体" w:hAnsi="宋体" w:eastAsia="宋体" w:cs="宋体"/>
          <w:sz w:val="20"/>
          <w:szCs w:val="20"/>
        </w:rPr>
      </w:pPr>
    </w:p>
    <w:p w14:paraId="1305FA94">
      <w:pPr>
        <w:spacing w:line="433" w:lineRule="auto"/>
        <w:rPr>
          <w:rFonts w:ascii="宋体" w:hAnsi="宋体" w:eastAsia="宋体" w:cs="宋体"/>
          <w:sz w:val="20"/>
          <w:szCs w:val="20"/>
        </w:rPr>
      </w:pPr>
    </w:p>
    <w:p w14:paraId="625F0387">
      <w:pPr>
        <w:spacing w:line="433" w:lineRule="auto"/>
        <w:rPr>
          <w:rFonts w:ascii="宋体" w:hAnsi="宋体" w:eastAsia="宋体" w:cs="宋体"/>
          <w:sz w:val="20"/>
          <w:szCs w:val="20"/>
        </w:rPr>
      </w:pPr>
    </w:p>
    <w:p w14:paraId="43255878">
      <w:pPr>
        <w:spacing w:line="433" w:lineRule="auto"/>
        <w:rPr>
          <w:rFonts w:ascii="宋体" w:hAnsi="宋体" w:eastAsia="宋体" w:cs="宋体"/>
          <w:sz w:val="20"/>
          <w:szCs w:val="20"/>
        </w:rPr>
      </w:pPr>
    </w:p>
    <w:p w14:paraId="375B0511">
      <w:pPr>
        <w:spacing w:line="433" w:lineRule="auto"/>
        <w:rPr>
          <w:rFonts w:ascii="宋体" w:hAnsi="宋体" w:eastAsia="宋体" w:cs="宋体"/>
          <w:sz w:val="20"/>
          <w:szCs w:val="20"/>
        </w:rPr>
      </w:pPr>
    </w:p>
    <w:p w14:paraId="2232DA26">
      <w:pPr>
        <w:spacing w:line="433" w:lineRule="auto"/>
        <w:rPr>
          <w:rFonts w:ascii="宋体" w:hAnsi="宋体" w:eastAsia="宋体" w:cs="宋体"/>
          <w:sz w:val="20"/>
          <w:szCs w:val="20"/>
        </w:rPr>
      </w:pPr>
    </w:p>
    <w:p w14:paraId="0DD90133">
      <w:pPr>
        <w:spacing w:line="433" w:lineRule="auto"/>
        <w:rPr>
          <w:rFonts w:ascii="宋体" w:hAnsi="宋体" w:eastAsia="宋体" w:cs="宋体"/>
          <w:sz w:val="20"/>
          <w:szCs w:val="20"/>
        </w:rPr>
      </w:pPr>
    </w:p>
    <w:p w14:paraId="5A712DE9">
      <w:pPr>
        <w:spacing w:line="433" w:lineRule="auto"/>
        <w:rPr>
          <w:rFonts w:ascii="宋体" w:hAnsi="宋体" w:eastAsia="宋体" w:cs="宋体"/>
          <w:sz w:val="20"/>
          <w:szCs w:val="20"/>
        </w:rPr>
      </w:pPr>
    </w:p>
    <w:p w14:paraId="2B253B6F">
      <w:pPr>
        <w:spacing w:line="433" w:lineRule="auto"/>
        <w:rPr>
          <w:rFonts w:ascii="宋体" w:hAnsi="宋体" w:eastAsia="宋体" w:cs="宋体"/>
          <w:sz w:val="20"/>
          <w:szCs w:val="20"/>
        </w:rPr>
      </w:pPr>
    </w:p>
    <w:p w14:paraId="0AB9C0DA">
      <w:pPr>
        <w:spacing w:line="433" w:lineRule="auto"/>
        <w:rPr>
          <w:rFonts w:ascii="宋体" w:hAnsi="宋体" w:eastAsia="宋体" w:cs="宋体"/>
          <w:sz w:val="20"/>
          <w:szCs w:val="20"/>
        </w:rPr>
      </w:pPr>
    </w:p>
    <w:p w14:paraId="43F34A3C">
      <w:pPr>
        <w:spacing w:line="433" w:lineRule="auto"/>
        <w:rPr>
          <w:rFonts w:ascii="宋体" w:hAnsi="宋体" w:eastAsia="宋体" w:cs="宋体"/>
          <w:sz w:val="20"/>
          <w:szCs w:val="20"/>
        </w:rPr>
      </w:pPr>
    </w:p>
    <w:p w14:paraId="0B17EE7C">
      <w:pPr>
        <w:spacing w:line="433" w:lineRule="auto"/>
        <w:rPr>
          <w:rFonts w:ascii="宋体" w:hAnsi="宋体" w:eastAsia="宋体" w:cs="宋体"/>
          <w:sz w:val="20"/>
          <w:szCs w:val="20"/>
        </w:rPr>
      </w:pPr>
    </w:p>
    <w:p w14:paraId="2A22B244">
      <w:pPr>
        <w:spacing w:line="433" w:lineRule="auto"/>
        <w:rPr>
          <w:rFonts w:ascii="宋体" w:hAnsi="宋体" w:eastAsia="宋体" w:cs="宋体"/>
          <w:sz w:val="20"/>
          <w:szCs w:val="20"/>
        </w:rPr>
        <w:sectPr>
          <w:footerReference r:id="rId4" w:type="default"/>
          <w:pgSz w:w="11906" w:h="16838"/>
          <w:pgMar w:top="1440" w:right="1800" w:bottom="1440" w:left="1800" w:header="851" w:footer="992" w:gutter="0"/>
          <w:pgNumType w:fmt="upperRoman" w:start="1"/>
          <w:cols w:space="425" w:num="1"/>
          <w:docGrid w:type="lines" w:linePitch="312" w:charSpace="0"/>
        </w:sectPr>
      </w:pPr>
    </w:p>
    <w:p w14:paraId="3D103783">
      <w:pPr>
        <w:spacing w:line="433" w:lineRule="auto"/>
        <w:rPr>
          <w:rFonts w:ascii="宋体" w:hAnsi="宋体" w:eastAsia="宋体" w:cs="宋体"/>
          <w:sz w:val="20"/>
          <w:szCs w:val="20"/>
        </w:rPr>
      </w:pPr>
    </w:p>
    <w:p w14:paraId="5078FEC6">
      <w:pPr>
        <w:bidi w:val="0"/>
        <w:jc w:val="center"/>
        <w:rPr>
          <w:rFonts w:hint="eastAsia" w:ascii="黑体" w:hAnsi="黑体" w:eastAsia="黑体" w:cs="黑体"/>
          <w:sz w:val="32"/>
          <w:szCs w:val="40"/>
        </w:rPr>
      </w:pPr>
      <w:r>
        <w:rPr>
          <w:rFonts w:hint="eastAsia" w:ascii="黑体" w:hAnsi="黑体" w:eastAsia="黑体" w:cs="黑体"/>
          <w:sz w:val="32"/>
          <w:szCs w:val="40"/>
        </w:rPr>
        <w:t>石窟寺类文物三维数据体系建设</w:t>
      </w:r>
    </w:p>
    <w:p w14:paraId="0C73B54D">
      <w:pPr>
        <w:spacing w:before="71" w:line="224" w:lineRule="auto"/>
        <w:jc w:val="both"/>
        <w:outlineLvl w:val="0"/>
        <w:rPr>
          <w:rFonts w:hint="eastAsia" w:ascii="黑体" w:hAnsi="黑体" w:eastAsia="黑体" w:cs="黑体"/>
          <w:b/>
          <w:bCs/>
          <w:spacing w:val="-16"/>
          <w:sz w:val="32"/>
          <w:szCs w:val="32"/>
        </w:rPr>
      </w:pPr>
      <w:bookmarkStart w:id="2" w:name="_Toc1756"/>
      <w:r>
        <w:rPr>
          <w:rFonts w:hint="eastAsia" w:ascii="黑体" w:hAnsi="黑体" w:eastAsia="黑体" w:cs="黑体"/>
          <w:b/>
          <w:bCs/>
          <w:spacing w:val="-16"/>
          <w:sz w:val="32"/>
          <w:szCs w:val="32"/>
          <w:lang w:eastAsia="en-US"/>
        </w:rPr>
        <w:t>1 范围</w:t>
      </w:r>
      <w:bookmarkEnd w:id="2"/>
    </w:p>
    <w:p w14:paraId="4776216F">
      <w:pPr>
        <w:bidi w:val="0"/>
        <w:ind w:firstLine="480" w:firstLineChars="200"/>
        <w:rPr>
          <w:rFonts w:hint="eastAsia" w:ascii="宋体" w:hAnsi="宋体" w:eastAsia="宋体" w:cs="宋体"/>
          <w:i w:val="0"/>
          <w:iCs w:val="0"/>
          <w:caps w:val="0"/>
          <w:color w:val="0F1115"/>
          <w:spacing w:val="0"/>
          <w:sz w:val="24"/>
          <w:szCs w:val="24"/>
          <w:shd w:val="clear" w:fill="FFFFFF"/>
        </w:rPr>
      </w:pPr>
      <w:r>
        <w:rPr>
          <w:rFonts w:hint="eastAsia" w:ascii="宋体" w:hAnsi="宋体" w:eastAsia="宋体" w:cs="宋体"/>
          <w:i w:val="0"/>
          <w:iCs w:val="0"/>
          <w:caps w:val="0"/>
          <w:color w:val="0F1115"/>
          <w:spacing w:val="0"/>
          <w:sz w:val="24"/>
          <w:szCs w:val="24"/>
          <w:shd w:val="clear" w:fill="FFFFFF"/>
        </w:rPr>
        <w:t>本文件规定了石窟寺类文物三维数据在采集、处理、存储、管理及应用全流程中的技术要求、操作规范和质量标准。</w:t>
      </w:r>
    </w:p>
    <w:p w14:paraId="4D98DBFD">
      <w:pPr>
        <w:bidi w:val="0"/>
        <w:ind w:firstLine="480" w:firstLineChars="200"/>
        <w:rPr>
          <w:rFonts w:hint="eastAsia" w:ascii="宋体" w:hAnsi="宋体" w:eastAsia="宋体" w:cs="宋体"/>
          <w:sz w:val="21"/>
          <w:szCs w:val="21"/>
        </w:rPr>
      </w:pPr>
      <w:r>
        <w:rPr>
          <w:rFonts w:hint="eastAsia" w:ascii="宋体" w:hAnsi="宋体" w:eastAsia="宋体" w:cs="宋体"/>
          <w:i w:val="0"/>
          <w:iCs w:val="0"/>
          <w:caps w:val="0"/>
          <w:color w:val="0F1115"/>
          <w:spacing w:val="0"/>
          <w:sz w:val="24"/>
          <w:szCs w:val="24"/>
          <w:shd w:val="clear" w:fill="FFFFFF"/>
        </w:rPr>
        <w:t>本文件适用于各级文物保护单位中的石窟寺，以及用于学术研究、文化展示等目的的石窟寺三维数据项目。</w:t>
      </w:r>
    </w:p>
    <w:p w14:paraId="76FE0A56">
      <w:pPr>
        <w:spacing w:before="71" w:line="224" w:lineRule="auto"/>
        <w:jc w:val="both"/>
        <w:outlineLvl w:val="0"/>
        <w:rPr>
          <w:rFonts w:hint="eastAsia" w:ascii="黑体" w:hAnsi="黑体" w:eastAsia="黑体" w:cs="黑体"/>
          <w:b/>
          <w:bCs/>
          <w:spacing w:val="-16"/>
          <w:sz w:val="32"/>
          <w:szCs w:val="32"/>
          <w:lang w:eastAsia="en-US"/>
        </w:rPr>
      </w:pPr>
      <w:bookmarkStart w:id="3" w:name="_Toc22672"/>
      <w:r>
        <w:rPr>
          <w:rFonts w:hint="eastAsia" w:ascii="黑体" w:hAnsi="黑体" w:eastAsia="黑体" w:cs="黑体"/>
          <w:b/>
          <w:bCs/>
          <w:spacing w:val="-16"/>
          <w:sz w:val="32"/>
          <w:szCs w:val="32"/>
          <w:lang w:eastAsia="en-US"/>
        </w:rPr>
        <w:t>2 规范性引用文件</w:t>
      </w:r>
      <w:bookmarkEnd w:id="3"/>
    </w:p>
    <w:p w14:paraId="08D41F8E">
      <w:pPr>
        <w:bidi w:val="0"/>
        <w:ind w:firstLine="480" w:firstLineChars="200"/>
        <w:rPr>
          <w:rFonts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10E2B9A">
      <w:pPr>
        <w:bidi w:val="0"/>
        <w:ind w:firstLine="480" w:firstLineChars="200"/>
        <w:rPr>
          <w:rFonts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GB/T 30544.1—2014　文物保护技术术语</w:t>
      </w:r>
    </w:p>
    <w:p w14:paraId="67F7894B">
      <w:pPr>
        <w:bidi w:val="0"/>
        <w:ind w:firstLine="480" w:firstLineChars="200"/>
        <w:rPr>
          <w:rFonts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GB/T 30235—2013　文物保护单位数字化保护规范</w:t>
      </w:r>
    </w:p>
    <w:p w14:paraId="78565778">
      <w:pPr>
        <w:bidi w:val="0"/>
        <w:ind w:firstLine="480" w:firstLineChars="200"/>
        <w:rPr>
          <w:rFonts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GB/T 18894—2016　电子文件归档与电子档案管理规范</w:t>
      </w:r>
    </w:p>
    <w:p w14:paraId="1C7F0A13">
      <w:pPr>
        <w:spacing w:before="71" w:line="224" w:lineRule="auto"/>
        <w:jc w:val="both"/>
        <w:outlineLvl w:val="0"/>
        <w:rPr>
          <w:rFonts w:ascii="黑体" w:hAnsi="黑体" w:eastAsia="黑体" w:cs="黑体"/>
          <w:b/>
          <w:bCs/>
          <w:spacing w:val="-16"/>
          <w:sz w:val="32"/>
          <w:szCs w:val="32"/>
        </w:rPr>
      </w:pPr>
      <w:bookmarkStart w:id="4" w:name="_Toc32635"/>
      <w:r>
        <w:rPr>
          <w:rFonts w:hint="default" w:ascii="黑体" w:hAnsi="黑体" w:eastAsia="黑体" w:cs="黑体"/>
          <w:b/>
          <w:bCs/>
          <w:spacing w:val="-16"/>
          <w:sz w:val="32"/>
          <w:szCs w:val="32"/>
        </w:rPr>
        <w:t>3　术语和定义</w:t>
      </w:r>
      <w:bookmarkEnd w:id="4"/>
    </w:p>
    <w:p w14:paraId="2E92F246">
      <w:pPr>
        <w:bidi w:val="0"/>
        <w:ind w:firstLine="480" w:firstLineChars="200"/>
        <w:rPr>
          <w:rFonts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下列术语和定义适用于本文件。</w:t>
      </w:r>
    </w:p>
    <w:p w14:paraId="2C34F526">
      <w:pPr>
        <w:pStyle w:val="3"/>
        <w:bidi w:val="0"/>
        <w:rPr>
          <w:rFonts w:hint="default"/>
          <w:sz w:val="28"/>
          <w:szCs w:val="22"/>
        </w:rPr>
      </w:pPr>
      <w:bookmarkStart w:id="5" w:name="_Toc6802"/>
      <w:r>
        <w:rPr>
          <w:rFonts w:hint="default"/>
          <w:sz w:val="28"/>
          <w:szCs w:val="22"/>
        </w:rPr>
        <w:t>3.1　三维数据</w:t>
      </w:r>
      <w:bookmarkEnd w:id="5"/>
    </w:p>
    <w:p w14:paraId="3ED6CD3D">
      <w:pPr>
        <w:bidi w:val="0"/>
        <w:ind w:firstLine="480" w:firstLineChars="200"/>
        <w:rPr>
          <w:rFonts w:hint="default" w:ascii="Segoe UI" w:hAnsi="Segoe UI" w:eastAsia="Segoe UI" w:cs="Segoe UI"/>
          <w:i w:val="0"/>
          <w:iCs w:val="0"/>
          <w:caps w:val="0"/>
          <w:color w:val="0F1115"/>
          <w:spacing w:val="0"/>
          <w:sz w:val="24"/>
          <w:szCs w:val="24"/>
          <w:shd w:val="clear" w:fill="FFFFFF"/>
          <w:lang w:val="en-US" w:eastAsia="zh-CN"/>
        </w:rPr>
      </w:pPr>
      <w:r>
        <w:rPr>
          <w:rFonts w:hint="default" w:ascii="Segoe UI" w:hAnsi="Segoe UI" w:eastAsia="Segoe UI" w:cs="Segoe UI"/>
          <w:i w:val="0"/>
          <w:iCs w:val="0"/>
          <w:caps w:val="0"/>
          <w:color w:val="0F1115"/>
          <w:spacing w:val="0"/>
          <w:sz w:val="24"/>
          <w:szCs w:val="24"/>
          <w:shd w:val="clear" w:fill="FFFFFF"/>
          <w:lang w:val="en-US" w:eastAsia="zh-CN"/>
        </w:rPr>
        <w:t>通过特定技术手段获取的，能够在三维空间中描述物体形状、位置、大小等几何特征及相关属性信息的数据集合。在石窟寺场景中，用于精确记录石窟寺及其附属文物的空间形态与表面特征。</w:t>
      </w:r>
    </w:p>
    <w:p w14:paraId="0F970D46">
      <w:pPr>
        <w:pStyle w:val="3"/>
        <w:bidi w:val="0"/>
        <w:rPr>
          <w:rFonts w:hint="default"/>
          <w:sz w:val="28"/>
          <w:szCs w:val="22"/>
        </w:rPr>
      </w:pPr>
      <w:bookmarkStart w:id="6" w:name="_Toc11766"/>
      <w:r>
        <w:rPr>
          <w:rFonts w:hint="default"/>
          <w:sz w:val="28"/>
          <w:szCs w:val="22"/>
        </w:rPr>
        <w:t>3.2　点云数据</w:t>
      </w:r>
      <w:bookmarkEnd w:id="6"/>
    </w:p>
    <w:p w14:paraId="53B558C0">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由大量离散点组成的数据集，每个点包含三维坐标（X、Y、Z）信息，部分可附带颜色、反射强度等属性。在石窟寺三维数据采集中，用于获取空间结构和表面形态的原始数据。</w:t>
      </w:r>
    </w:p>
    <w:p w14:paraId="0DFBE03D">
      <w:pPr>
        <w:pStyle w:val="3"/>
        <w:bidi w:val="0"/>
        <w:rPr>
          <w:rFonts w:hint="default"/>
          <w:sz w:val="28"/>
          <w:szCs w:val="22"/>
        </w:rPr>
      </w:pPr>
      <w:bookmarkStart w:id="7" w:name="_Toc18749"/>
      <w:r>
        <w:rPr>
          <w:rFonts w:hint="default"/>
          <w:sz w:val="28"/>
          <w:szCs w:val="22"/>
        </w:rPr>
        <w:t>3.3　网格模型</w:t>
      </w:r>
      <w:bookmarkEnd w:id="7"/>
    </w:p>
    <w:p w14:paraId="77EF8CCA">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将点云数据经算法处理和优化后，由三角形或多边形网格构成的三维模型。用于直观展现石窟寺及造像的形状，便于后续纹理映射、分析计算等操作。</w:t>
      </w:r>
    </w:p>
    <w:p w14:paraId="1E735ABA">
      <w:pPr>
        <w:pStyle w:val="3"/>
        <w:bidi w:val="0"/>
        <w:rPr>
          <w:rFonts w:hint="default"/>
          <w:sz w:val="28"/>
          <w:szCs w:val="22"/>
        </w:rPr>
      </w:pPr>
      <w:bookmarkStart w:id="8" w:name="_Toc11458"/>
      <w:r>
        <w:rPr>
          <w:rFonts w:hint="default"/>
          <w:sz w:val="28"/>
          <w:szCs w:val="22"/>
        </w:rPr>
        <w:t>3.4　纹理数据</w:t>
      </w:r>
      <w:bookmarkEnd w:id="8"/>
    </w:p>
    <w:p w14:paraId="0AB0EF38">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记录物体表面颜色、图案、材质等信息的数据。用于真实还原石窟表面及造像表面的色彩和纹理细节，增强三维模型的真实感。</w:t>
      </w:r>
    </w:p>
    <w:p w14:paraId="47C7F74B">
      <w:pPr>
        <w:pStyle w:val="3"/>
        <w:bidi w:val="0"/>
        <w:rPr>
          <w:rFonts w:hint="default"/>
          <w:sz w:val="28"/>
          <w:szCs w:val="22"/>
        </w:rPr>
      </w:pPr>
      <w:bookmarkStart w:id="9" w:name="_Toc274"/>
      <w:r>
        <w:rPr>
          <w:rFonts w:hint="default"/>
          <w:sz w:val="28"/>
          <w:szCs w:val="22"/>
        </w:rPr>
        <w:t>3.5　数据精度</w:t>
      </w:r>
      <w:bookmarkEnd w:id="9"/>
    </w:p>
    <w:p w14:paraId="149DCE71">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数据对真实物体几何特征和属性描述的准确程度，通常用误差范围表示。</w:t>
      </w:r>
    </w:p>
    <w:p w14:paraId="12722EF1">
      <w:pPr>
        <w:pStyle w:val="3"/>
        <w:bidi w:val="0"/>
        <w:rPr>
          <w:rFonts w:hint="default"/>
          <w:sz w:val="28"/>
          <w:szCs w:val="22"/>
        </w:rPr>
      </w:pPr>
      <w:bookmarkStart w:id="10" w:name="_Toc27318"/>
      <w:r>
        <w:rPr>
          <w:rFonts w:hint="default"/>
          <w:sz w:val="28"/>
          <w:szCs w:val="22"/>
        </w:rPr>
        <w:t>3.6　数据完整性</w:t>
      </w:r>
      <w:bookmarkEnd w:id="10"/>
    </w:p>
    <w:p w14:paraId="0F2ECEAA">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数据涵盖研究对象所有关键区域和结构的程度，无显著数据缺失即为完整。</w:t>
      </w:r>
    </w:p>
    <w:p w14:paraId="630F1AC9">
      <w:pPr>
        <w:pStyle w:val="3"/>
        <w:bidi w:val="0"/>
        <w:rPr>
          <w:rFonts w:hint="default"/>
          <w:sz w:val="28"/>
          <w:szCs w:val="22"/>
        </w:rPr>
      </w:pPr>
      <w:bookmarkStart w:id="11" w:name="_Toc4224"/>
      <w:r>
        <w:rPr>
          <w:rFonts w:hint="default"/>
          <w:sz w:val="28"/>
          <w:szCs w:val="22"/>
        </w:rPr>
        <w:t>3.7　数据分辨率</w:t>
      </w:r>
      <w:bookmarkEnd w:id="11"/>
    </w:p>
    <w:p w14:paraId="48F3F3BA">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数据在空间、时间或其他维度上区分细节的能力。</w:t>
      </w:r>
    </w:p>
    <w:p w14:paraId="0CFAC965">
      <w:pPr>
        <w:pStyle w:val="3"/>
        <w:bidi w:val="0"/>
        <w:rPr>
          <w:rFonts w:hint="default"/>
          <w:sz w:val="28"/>
          <w:szCs w:val="22"/>
        </w:rPr>
      </w:pPr>
      <w:bookmarkStart w:id="12" w:name="_Toc29613"/>
      <w:r>
        <w:rPr>
          <w:rFonts w:hint="default"/>
          <w:sz w:val="28"/>
          <w:szCs w:val="22"/>
        </w:rPr>
        <w:t>3.8　数据坐标系</w:t>
      </w:r>
      <w:bookmarkEnd w:id="12"/>
    </w:p>
    <w:p w14:paraId="7E28441E">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为确定数据空间位置而建立的坐标系统，确保数据在不同环节中空间位置的一致性和可追溯性。</w:t>
      </w:r>
    </w:p>
    <w:p w14:paraId="6E624EF4">
      <w:pPr>
        <w:spacing w:before="71" w:line="224" w:lineRule="auto"/>
        <w:jc w:val="both"/>
        <w:outlineLvl w:val="0"/>
        <w:rPr>
          <w:rFonts w:ascii="黑体" w:hAnsi="黑体" w:eastAsia="黑体" w:cs="黑体"/>
          <w:b/>
          <w:bCs/>
          <w:spacing w:val="-16"/>
          <w:sz w:val="32"/>
          <w:szCs w:val="32"/>
        </w:rPr>
      </w:pPr>
      <w:bookmarkStart w:id="13" w:name="_Toc5754"/>
      <w:r>
        <w:rPr>
          <w:rFonts w:hint="default" w:ascii="黑体" w:hAnsi="黑体" w:eastAsia="黑体" w:cs="黑体"/>
          <w:b/>
          <w:bCs/>
          <w:spacing w:val="-16"/>
          <w:sz w:val="32"/>
          <w:szCs w:val="32"/>
        </w:rPr>
        <w:t>4　三维数据分类</w:t>
      </w:r>
      <w:bookmarkEnd w:id="13"/>
    </w:p>
    <w:p w14:paraId="5AF85300">
      <w:pPr>
        <w:pStyle w:val="3"/>
        <w:bidi w:val="0"/>
        <w:rPr>
          <w:rFonts w:hint="default"/>
          <w:sz w:val="28"/>
          <w:szCs w:val="22"/>
        </w:rPr>
      </w:pPr>
      <w:bookmarkStart w:id="14" w:name="_Toc11082"/>
      <w:r>
        <w:rPr>
          <w:rFonts w:hint="default"/>
          <w:sz w:val="28"/>
          <w:szCs w:val="22"/>
        </w:rPr>
        <w:t>4.1　按数据来源分类</w:t>
      </w:r>
      <w:bookmarkEnd w:id="14"/>
    </w:p>
    <w:p w14:paraId="13AE4298">
      <w:pPr>
        <w:pStyle w:val="4"/>
        <w:bidi w:val="0"/>
        <w:rPr>
          <w:rFonts w:hint="default"/>
          <w:sz w:val="24"/>
          <w:szCs w:val="21"/>
        </w:rPr>
      </w:pPr>
      <w:r>
        <w:rPr>
          <w:rFonts w:hint="default"/>
          <w:sz w:val="24"/>
          <w:szCs w:val="21"/>
        </w:rPr>
        <w:t>4.1.1　激光扫描数据</w:t>
      </w:r>
    </w:p>
    <w:p w14:paraId="68EEE543">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利用地面三维激光扫描仪、无人机搭载激光雷达等设备，通过发射激光束并测量反射信号的时间延迟或相位变化，获取石窟寺空间结构和表面形态的数据。该数据具有高精度、高密度特性，适用于整体空间布局和复杂表面细节的记录。</w:t>
      </w:r>
    </w:p>
    <w:p w14:paraId="48AEC82F">
      <w:pPr>
        <w:pStyle w:val="4"/>
        <w:bidi w:val="0"/>
        <w:rPr>
          <w:rFonts w:hint="default"/>
          <w:sz w:val="24"/>
          <w:szCs w:val="21"/>
        </w:rPr>
      </w:pPr>
      <w:r>
        <w:rPr>
          <w:rFonts w:hint="default"/>
          <w:sz w:val="24"/>
          <w:szCs w:val="21"/>
        </w:rPr>
        <w:t>4.1.2　摄影测量数据</w:t>
      </w:r>
    </w:p>
    <w:p w14:paraId="760F3EB0">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运用摄影测量技术，从不同角度、不同位置采集多幅图像，通过图像匹配、三角测量等算法生成纹理、色彩及三维坐标数据。采集流程包括相机标定、拍摄计划制定、多角度拍摄及后期数据处理，处理要点包括图像去噪、特征提取和匹配算法优化。</w:t>
      </w:r>
    </w:p>
    <w:p w14:paraId="55AD5CD0">
      <w:pPr>
        <w:pStyle w:val="4"/>
        <w:bidi w:val="0"/>
        <w:rPr>
          <w:rFonts w:hint="default"/>
          <w:sz w:val="24"/>
          <w:szCs w:val="21"/>
        </w:rPr>
      </w:pPr>
      <w:r>
        <w:rPr>
          <w:rFonts w:hint="default"/>
          <w:sz w:val="24"/>
          <w:szCs w:val="21"/>
        </w:rPr>
        <w:t>4.1.3　其他数据</w:t>
      </w:r>
    </w:p>
    <w:p w14:paraId="6D7B98F0">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除激光扫描和摄影测量外，还可采用结构光扫描等技术获取数据。结构光扫描适用于小型石窟或局部精细结构的采集，通过投射特定图案的结构光并依据图案变形计算物体表面三维信息。</w:t>
      </w:r>
    </w:p>
    <w:p w14:paraId="04F25165">
      <w:pPr>
        <w:pStyle w:val="3"/>
        <w:bidi w:val="0"/>
        <w:rPr>
          <w:rFonts w:hint="default"/>
          <w:sz w:val="28"/>
          <w:szCs w:val="22"/>
        </w:rPr>
      </w:pPr>
      <w:bookmarkStart w:id="15" w:name="_Toc3748"/>
      <w:r>
        <w:rPr>
          <w:rFonts w:hint="default"/>
          <w:sz w:val="28"/>
          <w:szCs w:val="22"/>
        </w:rPr>
        <w:t>4.2　按数据内容分类</w:t>
      </w:r>
      <w:bookmarkEnd w:id="15"/>
    </w:p>
    <w:p w14:paraId="72049140">
      <w:pPr>
        <w:pStyle w:val="4"/>
        <w:bidi w:val="0"/>
        <w:rPr>
          <w:rFonts w:hint="default"/>
          <w:sz w:val="24"/>
          <w:szCs w:val="21"/>
        </w:rPr>
      </w:pPr>
      <w:r>
        <w:rPr>
          <w:rFonts w:hint="default"/>
          <w:sz w:val="24"/>
          <w:szCs w:val="21"/>
        </w:rPr>
        <w:t>4.2.1　石窟整体空间数据</w:t>
      </w:r>
    </w:p>
    <w:p w14:paraId="452ADBC4">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包含石窟整体布局、洞窟间空间关系（如分布位置、相对距离、高差等）的数据。</w:t>
      </w:r>
    </w:p>
    <w:p w14:paraId="4151C5D9">
      <w:pPr>
        <w:pStyle w:val="4"/>
        <w:bidi w:val="0"/>
        <w:rPr>
          <w:rFonts w:hint="default"/>
          <w:sz w:val="24"/>
          <w:szCs w:val="21"/>
        </w:rPr>
      </w:pPr>
      <w:r>
        <w:rPr>
          <w:rFonts w:hint="default"/>
          <w:sz w:val="24"/>
          <w:szCs w:val="21"/>
        </w:rPr>
        <w:t>4.2.2　洞窟内部结构数据</w:t>
      </w:r>
    </w:p>
    <w:p w14:paraId="6C22742B">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包含洞窟墙壁、顶部、地面等结构尺寸、形状、坡度等详细信息的数据。</w:t>
      </w:r>
    </w:p>
    <w:p w14:paraId="602D7F35">
      <w:pPr>
        <w:pStyle w:val="4"/>
        <w:bidi w:val="0"/>
        <w:rPr>
          <w:rFonts w:hint="default"/>
          <w:sz w:val="24"/>
          <w:szCs w:val="21"/>
        </w:rPr>
      </w:pPr>
      <w:r>
        <w:rPr>
          <w:rFonts w:hint="default"/>
          <w:sz w:val="24"/>
          <w:szCs w:val="21"/>
        </w:rPr>
        <w:t>4.2.3　造像三维数据</w:t>
      </w:r>
    </w:p>
    <w:p w14:paraId="6B286B96">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包含石窟内佛像、菩萨像等造像的三维模型数据，涵盖宏观几何形状及微观表面细节（如体态、手势、面部表情、衣纹、装饰等）。</w:t>
      </w:r>
    </w:p>
    <w:p w14:paraId="4BC5B81E">
      <w:pPr>
        <w:pStyle w:val="4"/>
        <w:bidi w:val="0"/>
        <w:rPr>
          <w:rFonts w:hint="default"/>
          <w:sz w:val="24"/>
          <w:szCs w:val="21"/>
        </w:rPr>
      </w:pPr>
      <w:r>
        <w:rPr>
          <w:rFonts w:hint="default"/>
          <w:sz w:val="24"/>
          <w:szCs w:val="21"/>
        </w:rPr>
        <w:t>4.2.4　纹理数据</w:t>
      </w:r>
    </w:p>
    <w:p w14:paraId="094AB1D0">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记录石窟表面及造像表面色彩、图案等纹理信息的数据，通常通过摄影测量或高分辨率图像采集获取。</w:t>
      </w:r>
    </w:p>
    <w:p w14:paraId="25E695E5">
      <w:pPr>
        <w:spacing w:before="71" w:line="224" w:lineRule="auto"/>
        <w:jc w:val="both"/>
        <w:outlineLvl w:val="0"/>
        <w:rPr>
          <w:rFonts w:ascii="黑体" w:hAnsi="黑体" w:eastAsia="黑体" w:cs="黑体"/>
          <w:b/>
          <w:bCs/>
          <w:spacing w:val="-16"/>
          <w:sz w:val="32"/>
          <w:szCs w:val="32"/>
        </w:rPr>
      </w:pPr>
      <w:bookmarkStart w:id="16" w:name="_Toc29418"/>
      <w:r>
        <w:rPr>
          <w:rFonts w:hint="default" w:ascii="黑体" w:hAnsi="黑体" w:eastAsia="黑体" w:cs="黑体"/>
          <w:b/>
          <w:bCs/>
          <w:spacing w:val="-16"/>
          <w:sz w:val="32"/>
          <w:szCs w:val="32"/>
        </w:rPr>
        <w:t>5　三维数据分级</w:t>
      </w:r>
      <w:bookmarkEnd w:id="16"/>
    </w:p>
    <w:p w14:paraId="5BE43007">
      <w:pPr>
        <w:pStyle w:val="3"/>
        <w:bidi w:val="0"/>
        <w:rPr>
          <w:rFonts w:hint="default"/>
          <w:sz w:val="28"/>
          <w:szCs w:val="22"/>
        </w:rPr>
      </w:pPr>
      <w:bookmarkStart w:id="17" w:name="_Toc11"/>
      <w:r>
        <w:rPr>
          <w:rFonts w:hint="default"/>
          <w:sz w:val="28"/>
          <w:szCs w:val="22"/>
        </w:rPr>
        <w:t>5.1　精度分级</w:t>
      </w:r>
      <w:bookmarkEnd w:id="17"/>
    </w:p>
    <w:p w14:paraId="31D4C428">
      <w:pPr>
        <w:pStyle w:val="4"/>
        <w:bidi w:val="0"/>
        <w:rPr>
          <w:rFonts w:hint="default"/>
          <w:sz w:val="24"/>
          <w:szCs w:val="21"/>
        </w:rPr>
      </w:pPr>
      <w:r>
        <w:rPr>
          <w:rFonts w:hint="default"/>
          <w:sz w:val="24"/>
          <w:szCs w:val="21"/>
        </w:rPr>
        <w:t>5.1.1　高精度数据</w:t>
      </w:r>
    </w:p>
    <w:p w14:paraId="573B9E82">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点云点间距为0.03 mm～1 mm，纹理精度不低于8K。适用于文物档案级存档数据。</w:t>
      </w:r>
    </w:p>
    <w:p w14:paraId="012928A2">
      <w:pPr>
        <w:pStyle w:val="4"/>
        <w:bidi w:val="0"/>
        <w:rPr>
          <w:rFonts w:hint="default"/>
          <w:sz w:val="24"/>
          <w:szCs w:val="21"/>
        </w:rPr>
      </w:pPr>
      <w:r>
        <w:rPr>
          <w:rFonts w:hint="default"/>
          <w:sz w:val="24"/>
          <w:szCs w:val="21"/>
        </w:rPr>
        <w:t>5.1.2　中精度数据</w:t>
      </w:r>
    </w:p>
    <w:p w14:paraId="17F0940B">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纹理精度不低于4K。适用于石窟寺整体空间测绘、洞窟建筑结构分析等一般性研究。</w:t>
      </w:r>
    </w:p>
    <w:p w14:paraId="6725D373">
      <w:pPr>
        <w:pStyle w:val="4"/>
        <w:bidi w:val="0"/>
        <w:rPr>
          <w:rFonts w:hint="default"/>
          <w:sz w:val="24"/>
          <w:szCs w:val="21"/>
        </w:rPr>
      </w:pPr>
      <w:r>
        <w:rPr>
          <w:rFonts w:hint="default"/>
          <w:sz w:val="24"/>
          <w:szCs w:val="21"/>
        </w:rPr>
        <w:t>5.1.3　较低精度数据</w:t>
      </w:r>
    </w:p>
    <w:p w14:paraId="71D5207B">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lang w:val="en-US" w:eastAsia="zh-CN"/>
        </w:rPr>
        <w:t>纹理精度不低于2K。适用于文旅融合应用。</w:t>
      </w:r>
    </w:p>
    <w:p w14:paraId="0C3896D3">
      <w:pPr>
        <w:pStyle w:val="4"/>
        <w:bidi w:val="0"/>
        <w:rPr>
          <w:rFonts w:hint="default"/>
          <w:sz w:val="24"/>
          <w:szCs w:val="21"/>
        </w:rPr>
      </w:pPr>
      <w:r>
        <w:rPr>
          <w:rFonts w:hint="default"/>
          <w:sz w:val="24"/>
          <w:szCs w:val="21"/>
        </w:rPr>
        <w:t>5.1.4　低精度数据</w:t>
      </w:r>
    </w:p>
    <w:p w14:paraId="385E1138">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纹理精度低于2K。适用于公众服务应用。</w:t>
      </w:r>
    </w:p>
    <w:p w14:paraId="23204192">
      <w:pPr>
        <w:pStyle w:val="3"/>
        <w:bidi w:val="0"/>
        <w:rPr>
          <w:rFonts w:hint="default"/>
          <w:sz w:val="28"/>
          <w:szCs w:val="22"/>
        </w:rPr>
      </w:pPr>
      <w:bookmarkStart w:id="18" w:name="_Toc15360"/>
      <w:r>
        <w:rPr>
          <w:rFonts w:hint="default"/>
          <w:sz w:val="28"/>
          <w:szCs w:val="22"/>
        </w:rPr>
        <w:t>5.2　完整性分级</w:t>
      </w:r>
      <w:bookmarkEnd w:id="18"/>
    </w:p>
    <w:p w14:paraId="3A9FE448">
      <w:pPr>
        <w:pStyle w:val="4"/>
        <w:bidi w:val="0"/>
        <w:rPr>
          <w:rFonts w:hint="default"/>
          <w:sz w:val="24"/>
          <w:szCs w:val="21"/>
        </w:rPr>
      </w:pPr>
      <w:r>
        <w:rPr>
          <w:rFonts w:hint="default"/>
          <w:sz w:val="24"/>
          <w:szCs w:val="21"/>
        </w:rPr>
        <w:t>5.2.1　完整数据</w:t>
      </w:r>
    </w:p>
    <w:p w14:paraId="36E4202F">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数据涵盖石窟寺所有关键区域和结构，无明显缺失。包含所有洞窟完整信息，造像三维数据包含完整造像，纹理数据覆盖全部可见表面。</w:t>
      </w:r>
    </w:p>
    <w:p w14:paraId="449273C5">
      <w:pPr>
        <w:pStyle w:val="4"/>
        <w:bidi w:val="0"/>
        <w:rPr>
          <w:rFonts w:hint="default"/>
          <w:sz w:val="24"/>
          <w:szCs w:val="21"/>
        </w:rPr>
      </w:pPr>
      <w:r>
        <w:rPr>
          <w:rFonts w:hint="default"/>
          <w:sz w:val="24"/>
          <w:szCs w:val="21"/>
        </w:rPr>
        <w:t>5.2.2　较完整数据</w:t>
      </w:r>
    </w:p>
    <w:p w14:paraId="04FFC626">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数据存在少量不影响整体分析和应用的缺失或不完整部分。</w:t>
      </w:r>
    </w:p>
    <w:p w14:paraId="6A0D55CC">
      <w:pPr>
        <w:pStyle w:val="4"/>
        <w:bidi w:val="0"/>
        <w:rPr>
          <w:rFonts w:hint="default"/>
          <w:sz w:val="24"/>
          <w:szCs w:val="21"/>
        </w:rPr>
      </w:pPr>
      <w:r>
        <w:rPr>
          <w:rFonts w:hint="default"/>
          <w:sz w:val="24"/>
          <w:szCs w:val="21"/>
        </w:rPr>
        <w:t>5.2.3　部分数据</w:t>
      </w:r>
    </w:p>
    <w:p w14:paraId="13CAD629">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数据缺失较为严重，仅包含石窟寺部分区域或结构的数据，如仅获取部分洞窟内部结构数据，或仅采集造像的关键部位。</w:t>
      </w:r>
    </w:p>
    <w:p w14:paraId="75B448D2">
      <w:pPr>
        <w:spacing w:before="71" w:line="224" w:lineRule="auto"/>
        <w:jc w:val="both"/>
        <w:outlineLvl w:val="0"/>
        <w:rPr>
          <w:rFonts w:hint="eastAsia" w:ascii="黑体" w:hAnsi="黑体" w:eastAsia="黑体" w:cs="黑体"/>
          <w:b/>
          <w:bCs/>
          <w:spacing w:val="-16"/>
          <w:sz w:val="32"/>
          <w:szCs w:val="32"/>
          <w:lang w:eastAsia="zh-CN"/>
        </w:rPr>
      </w:pPr>
      <w:bookmarkStart w:id="19" w:name="_Toc27270"/>
      <w:r>
        <w:rPr>
          <w:rFonts w:hint="eastAsia" w:ascii="黑体" w:hAnsi="黑体" w:eastAsia="黑体" w:cs="黑体"/>
          <w:b/>
          <w:bCs/>
          <w:spacing w:val="-16"/>
          <w:sz w:val="32"/>
          <w:szCs w:val="32"/>
          <w:lang w:eastAsia="zh-CN"/>
        </w:rPr>
        <w:t>6 三维数据标注</w:t>
      </w:r>
      <w:bookmarkEnd w:id="19"/>
    </w:p>
    <w:p w14:paraId="629C4A33">
      <w:pPr>
        <w:pStyle w:val="3"/>
        <w:bidi w:val="0"/>
        <w:rPr>
          <w:rFonts w:hint="eastAsia"/>
          <w:sz w:val="28"/>
          <w:szCs w:val="22"/>
          <w:lang w:eastAsia="zh-CN"/>
        </w:rPr>
      </w:pPr>
      <w:bookmarkStart w:id="20" w:name="_Toc21104"/>
      <w:r>
        <w:rPr>
          <w:rFonts w:hint="eastAsia"/>
          <w:sz w:val="28"/>
          <w:szCs w:val="22"/>
          <w:lang w:eastAsia="zh-CN"/>
        </w:rPr>
        <w:t>6.1 通用标注原则</w:t>
      </w:r>
      <w:bookmarkEnd w:id="20"/>
    </w:p>
    <w:p w14:paraId="654AE749">
      <w:pPr>
        <w:pStyle w:val="4"/>
        <w:bidi w:val="0"/>
        <w:rPr>
          <w:rFonts w:hint="eastAsia"/>
          <w:sz w:val="24"/>
          <w:szCs w:val="21"/>
          <w:lang w:eastAsia="zh-CN"/>
        </w:rPr>
      </w:pPr>
      <w:r>
        <w:rPr>
          <w:rFonts w:hint="eastAsia"/>
          <w:sz w:val="24"/>
          <w:szCs w:val="21"/>
          <w:lang w:eastAsia="zh-CN"/>
        </w:rPr>
        <w:t>6.1.1 准确性</w:t>
      </w:r>
    </w:p>
    <w:p w14:paraId="2D1934C2">
      <w:pPr>
        <w:bidi w:val="0"/>
        <w:ind w:firstLine="480" w:firstLineChars="200"/>
        <w:rPr>
          <w:rFonts w:hint="eastAsia" w:ascii="Segoe UI" w:hAnsi="Segoe UI" w:eastAsia="Segoe UI" w:cs="Segoe UI"/>
          <w:i w:val="0"/>
          <w:iCs w:val="0"/>
          <w:caps w:val="0"/>
          <w:color w:val="0F1115"/>
          <w:spacing w:val="0"/>
          <w:sz w:val="24"/>
          <w:szCs w:val="24"/>
          <w:shd w:val="clear" w:fill="FFFFFF"/>
          <w:lang w:val="en-US" w:eastAsia="zh-CN"/>
        </w:rPr>
      </w:pPr>
      <w:r>
        <w:rPr>
          <w:rFonts w:hint="eastAsia" w:ascii="Segoe UI" w:hAnsi="Segoe UI" w:eastAsia="Segoe UI" w:cs="Segoe UI"/>
          <w:i w:val="0"/>
          <w:iCs w:val="0"/>
          <w:caps w:val="0"/>
          <w:color w:val="0F1115"/>
          <w:spacing w:val="0"/>
          <w:sz w:val="24"/>
          <w:szCs w:val="24"/>
          <w:shd w:val="clear" w:fill="FFFFFF"/>
          <w:lang w:val="en-US" w:eastAsia="zh-CN"/>
        </w:rPr>
        <w:t>标注内容应精准反映数据实际状况，与所代表的对象、位置、属性严格对应，避免错误或模糊表述。</w:t>
      </w:r>
    </w:p>
    <w:p w14:paraId="5E45B8B9">
      <w:pPr>
        <w:pStyle w:val="4"/>
        <w:bidi w:val="0"/>
        <w:rPr>
          <w:rFonts w:hint="eastAsia"/>
          <w:sz w:val="24"/>
          <w:szCs w:val="21"/>
          <w:lang w:eastAsia="zh-CN"/>
        </w:rPr>
      </w:pPr>
      <w:r>
        <w:rPr>
          <w:rFonts w:hint="eastAsia"/>
          <w:sz w:val="24"/>
          <w:szCs w:val="21"/>
          <w:lang w:eastAsia="zh-CN"/>
        </w:rPr>
        <w:t>6.1.2 唯一性</w:t>
      </w:r>
    </w:p>
    <w:p w14:paraId="74910425">
      <w:pPr>
        <w:bidi w:val="0"/>
        <w:ind w:firstLine="480" w:firstLineChars="200"/>
        <w:rPr>
          <w:rFonts w:hint="eastAsia" w:ascii="Segoe UI" w:hAnsi="Segoe UI" w:eastAsia="Segoe UI" w:cs="Segoe UI"/>
          <w:i w:val="0"/>
          <w:iCs w:val="0"/>
          <w:caps w:val="0"/>
          <w:color w:val="0F1115"/>
          <w:spacing w:val="0"/>
          <w:kern w:val="2"/>
          <w:sz w:val="24"/>
          <w:szCs w:val="24"/>
          <w:shd w:val="clear" w:fill="FFFFFF"/>
          <w:lang w:val="en-US" w:eastAsia="zh-CN" w:bidi="ar-SA"/>
        </w:rPr>
      </w:pPr>
      <w:r>
        <w:rPr>
          <w:rFonts w:hint="eastAsia" w:ascii="Segoe UI" w:hAnsi="Segoe UI" w:eastAsia="Segoe UI" w:cs="Segoe UI"/>
          <w:i w:val="0"/>
          <w:iCs w:val="0"/>
          <w:caps w:val="0"/>
          <w:color w:val="0F1115"/>
          <w:spacing w:val="0"/>
          <w:kern w:val="2"/>
          <w:sz w:val="24"/>
          <w:szCs w:val="24"/>
          <w:shd w:val="clear" w:fill="FFFFFF"/>
          <w:lang w:val="en-US" w:eastAsia="zh-CN" w:bidi="ar-SA"/>
        </w:rPr>
        <w:t>每个标注对象应具有唯一标识， 以便在数据管理和应用过程中能够准确区分和查询。</w:t>
      </w:r>
    </w:p>
    <w:p w14:paraId="7D1C31E0">
      <w:pPr>
        <w:pStyle w:val="4"/>
        <w:bidi w:val="0"/>
        <w:rPr>
          <w:rFonts w:hint="eastAsia"/>
          <w:sz w:val="24"/>
          <w:szCs w:val="21"/>
          <w:lang w:eastAsia="zh-CN"/>
        </w:rPr>
      </w:pPr>
      <w:r>
        <w:rPr>
          <w:rFonts w:hint="eastAsia"/>
          <w:sz w:val="24"/>
          <w:szCs w:val="21"/>
          <w:lang w:eastAsia="zh-CN"/>
        </w:rPr>
        <w:t>6.1.3 可扩展性</w:t>
      </w:r>
    </w:p>
    <w:p w14:paraId="3204229C">
      <w:pPr>
        <w:bidi w:val="0"/>
        <w:ind w:firstLine="480" w:firstLineChars="200"/>
        <w:rPr>
          <w:rFonts w:hint="eastAsia" w:ascii="Segoe UI" w:hAnsi="Segoe UI" w:eastAsia="Segoe UI" w:cs="Segoe UI"/>
          <w:i w:val="0"/>
          <w:iCs w:val="0"/>
          <w:caps w:val="0"/>
          <w:color w:val="0F1115"/>
          <w:spacing w:val="0"/>
          <w:kern w:val="2"/>
          <w:sz w:val="24"/>
          <w:szCs w:val="24"/>
          <w:shd w:val="clear" w:fill="FFFFFF"/>
          <w:lang w:val="en-US" w:eastAsia="zh-CN" w:bidi="ar-SA"/>
        </w:rPr>
      </w:pPr>
      <w:r>
        <w:rPr>
          <w:rFonts w:hint="eastAsia" w:ascii="Segoe UI" w:hAnsi="Segoe UI" w:eastAsia="Segoe UI" w:cs="Segoe UI"/>
          <w:i w:val="0"/>
          <w:iCs w:val="0"/>
          <w:caps w:val="0"/>
          <w:color w:val="0F1115"/>
          <w:spacing w:val="0"/>
          <w:kern w:val="2"/>
          <w:sz w:val="24"/>
          <w:szCs w:val="24"/>
          <w:shd w:val="clear" w:fill="FFFFFF"/>
          <w:lang w:val="en-US" w:eastAsia="zh-CN" w:bidi="ar-SA"/>
        </w:rPr>
        <w:t>标注体系应具备良好的扩展性，能够适应未来数据内容和应用需求的变化，且不影响现有标注的有效性和兼容性。</w:t>
      </w:r>
    </w:p>
    <w:p w14:paraId="4165E0F9">
      <w:pPr>
        <w:pStyle w:val="3"/>
        <w:bidi w:val="0"/>
        <w:rPr>
          <w:rFonts w:hint="default"/>
          <w:sz w:val="28"/>
          <w:szCs w:val="22"/>
        </w:rPr>
      </w:pPr>
      <w:bookmarkStart w:id="21" w:name="_Toc12337"/>
      <w:r>
        <w:rPr>
          <w:rFonts w:hint="default"/>
          <w:sz w:val="28"/>
          <w:szCs w:val="22"/>
        </w:rPr>
        <w:t>6.2　标注内容</w:t>
      </w:r>
      <w:bookmarkEnd w:id="21"/>
    </w:p>
    <w:p w14:paraId="28C7D8B1">
      <w:pPr>
        <w:pStyle w:val="4"/>
        <w:bidi w:val="0"/>
        <w:rPr>
          <w:rFonts w:hint="default"/>
          <w:sz w:val="24"/>
          <w:szCs w:val="21"/>
        </w:rPr>
      </w:pPr>
      <w:r>
        <w:rPr>
          <w:rFonts w:hint="default"/>
          <w:sz w:val="24"/>
          <w:szCs w:val="21"/>
        </w:rPr>
        <w:t>6.2.1　空间位置标注</w:t>
      </w:r>
    </w:p>
    <w:p w14:paraId="7155A93C">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lang w:val="en-US" w:eastAsia="zh-CN"/>
        </w:rPr>
        <w:t>标注数据在石窟寺空间中的具体位置，包括洞窟编号、所在壁面、层级、相对位置关系等信息。</w:t>
      </w:r>
    </w:p>
    <w:p w14:paraId="19E8D529">
      <w:pPr>
        <w:pStyle w:val="4"/>
        <w:bidi w:val="0"/>
        <w:rPr>
          <w:rFonts w:hint="default"/>
          <w:sz w:val="24"/>
          <w:szCs w:val="21"/>
        </w:rPr>
      </w:pPr>
      <w:r>
        <w:rPr>
          <w:rFonts w:hint="default"/>
          <w:sz w:val="24"/>
          <w:szCs w:val="21"/>
        </w:rPr>
        <w:t>6.2.2　对象属性标注</w:t>
      </w:r>
    </w:p>
    <w:p w14:paraId="528ECBE4">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标注数据所代表对象的属性，如造像的名称、年代、材质、宗教题材，洞窟的建造年代、功能用途等。</w:t>
      </w:r>
    </w:p>
    <w:p w14:paraId="0AF6CCC3">
      <w:pPr>
        <w:pStyle w:val="4"/>
        <w:bidi w:val="0"/>
        <w:rPr>
          <w:rFonts w:hint="default"/>
          <w:sz w:val="24"/>
          <w:szCs w:val="21"/>
        </w:rPr>
      </w:pPr>
      <w:r>
        <w:rPr>
          <w:rFonts w:hint="default"/>
          <w:sz w:val="24"/>
          <w:szCs w:val="21"/>
        </w:rPr>
        <w:t>6.2.3　病害标注</w:t>
      </w:r>
    </w:p>
    <w:p w14:paraId="1CB02473">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标注石窟寺及造像表面的病害情况，包括病害类型（如裂缝、脱落、风化等）、位置、范围、严重程度等信息。</w:t>
      </w:r>
    </w:p>
    <w:p w14:paraId="4DB4210B">
      <w:pPr>
        <w:pStyle w:val="4"/>
        <w:bidi w:val="0"/>
        <w:rPr>
          <w:rFonts w:hint="default"/>
          <w:sz w:val="24"/>
          <w:szCs w:val="21"/>
        </w:rPr>
      </w:pPr>
      <w:r>
        <w:rPr>
          <w:rFonts w:hint="default"/>
          <w:sz w:val="24"/>
          <w:szCs w:val="21"/>
        </w:rPr>
        <w:t>6.2.4　注释与说明标注</w:t>
      </w:r>
    </w:p>
    <w:p w14:paraId="295DFC6C">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添加必要的注释和说明信息，用于解释数据采集过程中的特殊情况、处理方法，或对数据中难以直接理解的部分进行补充说明。</w:t>
      </w:r>
    </w:p>
    <w:p w14:paraId="489E096A">
      <w:pPr>
        <w:pStyle w:val="3"/>
        <w:bidi w:val="0"/>
        <w:rPr>
          <w:rFonts w:hint="default"/>
          <w:sz w:val="28"/>
          <w:szCs w:val="22"/>
        </w:rPr>
      </w:pPr>
      <w:bookmarkStart w:id="22" w:name="_Toc18083"/>
      <w:r>
        <w:rPr>
          <w:rFonts w:hint="default"/>
          <w:sz w:val="28"/>
          <w:szCs w:val="22"/>
        </w:rPr>
        <w:t>6.3　标注方式</w:t>
      </w:r>
      <w:bookmarkEnd w:id="22"/>
    </w:p>
    <w:p w14:paraId="09E3726C">
      <w:pPr>
        <w:pStyle w:val="4"/>
        <w:bidi w:val="0"/>
        <w:rPr>
          <w:rFonts w:hint="default"/>
          <w:sz w:val="24"/>
          <w:szCs w:val="21"/>
        </w:rPr>
      </w:pPr>
      <w:r>
        <w:rPr>
          <w:rFonts w:hint="default"/>
          <w:sz w:val="24"/>
          <w:szCs w:val="21"/>
        </w:rPr>
        <w:t>6.3.1　文本标注</w:t>
      </w:r>
    </w:p>
    <w:p w14:paraId="2CF3BEA5">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采用文字形式对数据进行标注，可在三维模型相关对象上添加文本标签，或在数据文件中以注释形式记录。</w:t>
      </w:r>
    </w:p>
    <w:p w14:paraId="200AA857">
      <w:pPr>
        <w:pStyle w:val="4"/>
        <w:bidi w:val="0"/>
        <w:rPr>
          <w:rFonts w:hint="default"/>
          <w:sz w:val="24"/>
          <w:szCs w:val="21"/>
        </w:rPr>
      </w:pPr>
      <w:r>
        <w:rPr>
          <w:rFonts w:hint="default"/>
          <w:sz w:val="24"/>
          <w:szCs w:val="21"/>
        </w:rPr>
        <w:t>6.3.2　图形标注</w:t>
      </w:r>
    </w:p>
    <w:p w14:paraId="090ABAEB">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通过在三维模型上绘制图形（如矩形、圆形、线段等）进行标注，例如用矩形框选病害区域，用线段标注裂缝位置。</w:t>
      </w:r>
    </w:p>
    <w:p w14:paraId="7130414E">
      <w:pPr>
        <w:pStyle w:val="4"/>
        <w:bidi w:val="0"/>
        <w:rPr>
          <w:rFonts w:hint="default"/>
          <w:sz w:val="24"/>
          <w:szCs w:val="21"/>
        </w:rPr>
      </w:pPr>
      <w:r>
        <w:rPr>
          <w:rFonts w:hint="default"/>
          <w:sz w:val="24"/>
          <w:szCs w:val="21"/>
        </w:rPr>
        <w:t>6.3.3　元数据标注</w:t>
      </w:r>
    </w:p>
    <w:p w14:paraId="523F34B0">
      <w:pPr>
        <w:bidi w:val="0"/>
        <w:ind w:firstLine="480" w:firstLineChars="20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将标注信息以元数据形式嵌入数据文件中，元数据包含数据基本属性、标注内容、采集时间、采集人员等信息。</w:t>
      </w:r>
    </w:p>
    <w:p w14:paraId="462C5A03">
      <w:pPr>
        <w:spacing w:before="71" w:line="224" w:lineRule="auto"/>
        <w:jc w:val="both"/>
        <w:outlineLvl w:val="0"/>
        <w:rPr>
          <w:rFonts w:hint="eastAsia" w:ascii="黑体" w:hAnsi="黑体" w:eastAsia="黑体" w:cs="黑体"/>
          <w:b/>
          <w:bCs/>
          <w:spacing w:val="-16"/>
          <w:sz w:val="32"/>
          <w:szCs w:val="32"/>
          <w:lang w:eastAsia="zh-CN"/>
        </w:rPr>
      </w:pPr>
      <w:bookmarkStart w:id="23" w:name="_Toc25500"/>
      <w:r>
        <w:rPr>
          <w:rFonts w:hint="eastAsia" w:ascii="黑体" w:hAnsi="黑体" w:eastAsia="黑体" w:cs="黑体"/>
          <w:b/>
          <w:bCs/>
          <w:spacing w:val="-16"/>
          <w:sz w:val="32"/>
          <w:szCs w:val="32"/>
          <w:lang w:eastAsia="zh-CN"/>
        </w:rPr>
        <w:t>7 数据存储与管理</w:t>
      </w:r>
      <w:bookmarkEnd w:id="23"/>
    </w:p>
    <w:p w14:paraId="6FBEA5F0">
      <w:pPr>
        <w:pStyle w:val="3"/>
        <w:bidi w:val="0"/>
        <w:rPr>
          <w:rFonts w:hint="eastAsia"/>
          <w:sz w:val="28"/>
          <w:szCs w:val="22"/>
          <w:lang w:eastAsia="zh-CN"/>
        </w:rPr>
      </w:pPr>
      <w:bookmarkStart w:id="24" w:name="_Toc23920"/>
      <w:r>
        <w:rPr>
          <w:rFonts w:hint="eastAsia"/>
          <w:sz w:val="28"/>
          <w:szCs w:val="22"/>
          <w:lang w:eastAsia="zh-CN"/>
        </w:rPr>
        <w:t>7.1　存储格式</w:t>
      </w:r>
      <w:bookmarkEnd w:id="24"/>
    </w:p>
    <w:p w14:paraId="331962FD">
      <w:pPr>
        <w:bidi w:val="0"/>
        <w:ind w:firstLine="480" w:firstLineChars="200"/>
        <w:rPr>
          <w:rFonts w:hint="eastAsia"/>
          <w:b/>
          <w:sz w:val="21"/>
          <w:szCs w:val="18"/>
          <w:highlight w:val="none"/>
          <w:lang w:eastAsia="zh-CN"/>
        </w:rPr>
      </w:pPr>
      <w:r>
        <w:rPr>
          <w:rFonts w:hint="eastAsia" w:ascii="Segoe UI" w:hAnsi="Segoe UI" w:eastAsia="Segoe UI" w:cs="Segoe UI"/>
          <w:i w:val="0"/>
          <w:iCs w:val="0"/>
          <w:caps w:val="0"/>
          <w:color w:val="0F1115"/>
          <w:spacing w:val="0"/>
          <w:sz w:val="24"/>
          <w:szCs w:val="24"/>
          <w:shd w:val="clear" w:fill="FFFFFF"/>
          <w:lang w:eastAsia="zh-CN"/>
        </w:rPr>
        <w:t>点云数据宜采用LAS、E57等格式，网格模型宜采用OBJ、PLY等格式，纹理数据宜采用JPEG、PNG等格式。存储格式应选择具有良好兼容性、开放性和稳定性的标准格式，确保数据在不同软件和平台间可便捷传输、共享和使用。对于特殊需求或特定软件生成的数据，在满足兼容性要求的前提下，可采用自定义格式存储，并应提供相应的转换工具。</w:t>
      </w:r>
    </w:p>
    <w:p w14:paraId="06BFB5FE">
      <w:pPr>
        <w:pStyle w:val="3"/>
        <w:bidi w:val="0"/>
        <w:rPr>
          <w:rFonts w:hint="eastAsia"/>
          <w:sz w:val="28"/>
          <w:szCs w:val="22"/>
          <w:lang w:eastAsia="zh-CN"/>
        </w:rPr>
      </w:pPr>
      <w:bookmarkStart w:id="25" w:name="_Toc26795"/>
      <w:r>
        <w:rPr>
          <w:rFonts w:hint="eastAsia"/>
          <w:sz w:val="28"/>
          <w:szCs w:val="22"/>
          <w:lang w:eastAsia="zh-CN"/>
        </w:rPr>
        <w:t>7.2　数据备份与恢复</w:t>
      </w:r>
      <w:bookmarkEnd w:id="25"/>
    </w:p>
    <w:p w14:paraId="06120A07">
      <w:pPr>
        <w:bidi w:val="0"/>
        <w:ind w:firstLine="480" w:firstLineChars="200"/>
        <w:rPr>
          <w:rFonts w:hint="eastAsia"/>
          <w:b/>
          <w:sz w:val="21"/>
          <w:szCs w:val="18"/>
          <w:highlight w:val="none"/>
          <w:lang w:eastAsia="zh-CN"/>
        </w:rPr>
      </w:pPr>
      <w:r>
        <w:rPr>
          <w:rFonts w:hint="eastAsia" w:ascii="Segoe UI" w:hAnsi="Segoe UI" w:eastAsia="Segoe UI" w:cs="Segoe UI"/>
          <w:i w:val="0"/>
          <w:iCs w:val="0"/>
          <w:caps w:val="0"/>
          <w:color w:val="0F1115"/>
          <w:spacing w:val="0"/>
          <w:sz w:val="24"/>
          <w:szCs w:val="24"/>
          <w:shd w:val="clear" w:fill="FFFFFF"/>
          <w:lang w:eastAsia="zh-CN"/>
        </w:rPr>
        <w:t>应制定数据备份策略，定期对三维数据进行备份，备份频率依据数据的重要性和更新频率确定。备份数据应存储于不同介质和地理位置，以防硬件故障、自然灾害等导致数据丢失。应建立数据恢复机制，确保在数据损坏或丢失时能快速、准确恢复，保证数据可用性。备份和恢复操作应详细记录，包括备份时间、内容、恢复时间、结果等信息。</w:t>
      </w:r>
    </w:p>
    <w:p w14:paraId="1325081A">
      <w:pPr>
        <w:pStyle w:val="3"/>
        <w:bidi w:val="0"/>
        <w:rPr>
          <w:rFonts w:hint="eastAsia"/>
          <w:sz w:val="28"/>
          <w:szCs w:val="22"/>
          <w:lang w:eastAsia="zh-CN"/>
        </w:rPr>
      </w:pPr>
      <w:bookmarkStart w:id="26" w:name="_Toc23560"/>
      <w:r>
        <w:rPr>
          <w:rFonts w:hint="eastAsia"/>
          <w:sz w:val="28"/>
          <w:szCs w:val="22"/>
          <w:lang w:eastAsia="zh-CN"/>
        </w:rPr>
        <w:t>7.3　数据访问权限管理</w:t>
      </w:r>
      <w:bookmarkEnd w:id="26"/>
    </w:p>
    <w:p w14:paraId="0FEF7D5D">
      <w:pPr>
        <w:bidi w:val="0"/>
        <w:ind w:firstLine="480" w:firstLineChars="200"/>
        <w:rPr>
          <w:rFonts w:hint="eastAsia" w:ascii="Segoe UI" w:hAnsi="Segoe UI" w:eastAsia="Segoe UI" w:cs="Segoe UI"/>
          <w:i w:val="0"/>
          <w:iCs w:val="0"/>
          <w:caps w:val="0"/>
          <w:color w:val="0F1115"/>
          <w:spacing w:val="0"/>
          <w:sz w:val="24"/>
          <w:szCs w:val="24"/>
          <w:shd w:val="clear" w:fill="FFFFFF"/>
          <w:lang w:eastAsia="zh-CN"/>
        </w:rPr>
      </w:pPr>
      <w:r>
        <w:rPr>
          <w:rFonts w:hint="eastAsia" w:ascii="Segoe UI" w:hAnsi="Segoe UI" w:eastAsia="Segoe UI" w:cs="Segoe UI"/>
          <w:i w:val="0"/>
          <w:iCs w:val="0"/>
          <w:caps w:val="0"/>
          <w:color w:val="0F1115"/>
          <w:spacing w:val="0"/>
          <w:sz w:val="24"/>
          <w:szCs w:val="24"/>
          <w:shd w:val="clear" w:fill="FFFFFF"/>
          <w:lang w:eastAsia="zh-CN"/>
        </w:rPr>
        <w:t>应建立严格的数据访问权限管理机制，根据用户身份和职责分配不同访问级别。管理员拥有最高权限，可进行数据的添加、修改、删除及全量数据访问；研究人员可根据项目需求获得相应数据的读取和分析权限；普通用户可具有数据浏览权限。</w:t>
      </w:r>
    </w:p>
    <w:p w14:paraId="38A3D543">
      <w:pPr>
        <w:pStyle w:val="3"/>
        <w:bidi w:val="0"/>
        <w:rPr>
          <w:rFonts w:hint="eastAsia"/>
          <w:b/>
          <w:sz w:val="21"/>
          <w:szCs w:val="18"/>
          <w:lang w:eastAsia="zh-CN"/>
        </w:rPr>
      </w:pPr>
      <w:bookmarkStart w:id="27" w:name="_Toc1334"/>
      <w:r>
        <w:rPr>
          <w:rFonts w:hint="eastAsia"/>
          <w:b/>
          <w:sz w:val="21"/>
          <w:szCs w:val="18"/>
          <w:lang w:eastAsia="zh-CN"/>
        </w:rPr>
        <w:t>8 数据质量控制</w:t>
      </w:r>
      <w:bookmarkEnd w:id="27"/>
    </w:p>
    <w:p w14:paraId="23BBA15D">
      <w:pPr>
        <w:pStyle w:val="3"/>
        <w:bidi w:val="0"/>
        <w:rPr>
          <w:rFonts w:hint="eastAsia"/>
          <w:sz w:val="28"/>
          <w:szCs w:val="22"/>
          <w:lang w:eastAsia="zh-CN"/>
        </w:rPr>
      </w:pPr>
      <w:bookmarkStart w:id="28" w:name="_Toc30856"/>
      <w:r>
        <w:rPr>
          <w:rFonts w:hint="eastAsia"/>
          <w:sz w:val="28"/>
          <w:szCs w:val="22"/>
          <w:lang w:eastAsia="zh-CN"/>
        </w:rPr>
        <w:t>8.1　采集过程质量控制</w:t>
      </w:r>
      <w:bookmarkEnd w:id="28"/>
    </w:p>
    <w:p w14:paraId="462858C9">
      <w:pPr>
        <w:bidi w:val="0"/>
        <w:ind w:firstLine="480" w:firstLineChars="200"/>
        <w:rPr>
          <w:rFonts w:hint="eastAsia" w:ascii="Segoe UI" w:hAnsi="Segoe UI" w:eastAsia="Segoe UI" w:cs="Segoe UI"/>
          <w:i w:val="0"/>
          <w:iCs w:val="0"/>
          <w:caps w:val="0"/>
          <w:color w:val="0F1115"/>
          <w:spacing w:val="0"/>
          <w:sz w:val="24"/>
          <w:szCs w:val="24"/>
          <w:shd w:val="clear" w:fill="FFFFFF"/>
          <w:lang w:eastAsia="zh-CN"/>
        </w:rPr>
      </w:pPr>
      <w:r>
        <w:rPr>
          <w:rFonts w:hint="eastAsia" w:ascii="Segoe UI" w:hAnsi="Segoe UI" w:eastAsia="Segoe UI" w:cs="Segoe UI"/>
          <w:i w:val="0"/>
          <w:iCs w:val="0"/>
          <w:caps w:val="0"/>
          <w:color w:val="0F1115"/>
          <w:spacing w:val="0"/>
          <w:sz w:val="24"/>
          <w:szCs w:val="24"/>
          <w:shd w:val="clear" w:fill="FFFFFF"/>
          <w:lang w:eastAsia="zh-CN"/>
        </w:rPr>
        <w:t>在数据采集阶段，应制定详细的采集计划和操作规程，确保采集设备的准确性和稳定性。采集前应对设备进行校准和检查，采集过程中应严格按操作规程执行，并控制光照、温度、湿度等环境因素对数据质量的影响。</w:t>
      </w:r>
    </w:p>
    <w:p w14:paraId="5DFDC3BD">
      <w:pPr>
        <w:pStyle w:val="3"/>
        <w:bidi w:val="0"/>
        <w:rPr>
          <w:rFonts w:hint="eastAsia"/>
          <w:sz w:val="28"/>
          <w:szCs w:val="22"/>
          <w:lang w:eastAsia="zh-CN"/>
        </w:rPr>
      </w:pPr>
      <w:bookmarkStart w:id="29" w:name="_Toc10220"/>
      <w:r>
        <w:rPr>
          <w:rFonts w:hint="eastAsia"/>
          <w:sz w:val="28"/>
          <w:szCs w:val="22"/>
          <w:lang w:eastAsia="zh-CN"/>
        </w:rPr>
        <w:t>8.2　数据处理质量控制</w:t>
      </w:r>
      <w:bookmarkEnd w:id="29"/>
    </w:p>
    <w:p w14:paraId="14A0C432">
      <w:pPr>
        <w:bidi w:val="0"/>
        <w:ind w:firstLine="480" w:firstLineChars="200"/>
        <w:rPr>
          <w:rFonts w:hint="eastAsia" w:ascii="Segoe UI" w:hAnsi="Segoe UI" w:eastAsia="Segoe UI" w:cs="Segoe UI"/>
          <w:i w:val="0"/>
          <w:iCs w:val="0"/>
          <w:caps w:val="0"/>
          <w:color w:val="0F1115"/>
          <w:spacing w:val="0"/>
          <w:sz w:val="24"/>
          <w:szCs w:val="24"/>
          <w:shd w:val="clear" w:fill="FFFFFF"/>
          <w:lang w:eastAsia="zh-CN"/>
        </w:rPr>
      </w:pPr>
      <w:r>
        <w:rPr>
          <w:rFonts w:hint="eastAsia" w:ascii="Segoe UI" w:hAnsi="Segoe UI" w:eastAsia="Segoe UI" w:cs="Segoe UI"/>
          <w:i w:val="0"/>
          <w:iCs w:val="0"/>
          <w:caps w:val="0"/>
          <w:color w:val="0F1115"/>
          <w:spacing w:val="0"/>
          <w:sz w:val="24"/>
          <w:szCs w:val="24"/>
          <w:shd w:val="clear" w:fill="FFFFFF"/>
          <w:lang w:eastAsia="zh-CN"/>
        </w:rPr>
        <w:t>数据处理应采用科学合理的算法和软件工具，确保数据处理的准确性和一致性。应详细记录处理过程，包括步骤、参数设置、软件版本等信息，以便追溯和评估处理结果的可靠性。数据处理完成后，应进行质量检查，如检查网格模型拓扑结构是否正确、纹理映射是否准确、数据精度是否符合要求等。对不符合质量要求的数据，应重新处理或修正。</w:t>
      </w:r>
    </w:p>
    <w:p w14:paraId="47C82EAB">
      <w:pPr>
        <w:bidi w:val="0"/>
        <w:ind w:firstLine="420" w:firstLineChars="200"/>
        <w:rPr>
          <w:rFonts w:hint="eastAsia"/>
          <w:sz w:val="21"/>
          <w:szCs w:val="21"/>
          <w:lang w:eastAsia="zh-CN"/>
        </w:rPr>
      </w:pPr>
    </w:p>
    <w:p w14:paraId="25D3250F">
      <w:pPr>
        <w:bidi w:val="0"/>
        <w:ind w:firstLine="420" w:firstLineChars="200"/>
        <w:rPr>
          <w:rFonts w:hint="eastAsia"/>
          <w:sz w:val="21"/>
          <w:szCs w:val="21"/>
          <w:lang w:eastAsia="zh-CN"/>
        </w:rPr>
      </w:pPr>
    </w:p>
    <w:p w14:paraId="386C7132">
      <w:pPr>
        <w:bidi w:val="0"/>
        <w:ind w:firstLine="420" w:firstLineChars="200"/>
        <w:rPr>
          <w:rFonts w:hint="eastAsia"/>
          <w:sz w:val="21"/>
          <w:szCs w:val="21"/>
          <w:lang w:eastAsia="zh-CN"/>
        </w:rPr>
      </w:pPr>
    </w:p>
    <w:p w14:paraId="51242B32">
      <w:pPr>
        <w:bidi w:val="0"/>
        <w:ind w:firstLine="420" w:firstLineChars="200"/>
        <w:rPr>
          <w:rFonts w:hint="eastAsia"/>
          <w:sz w:val="21"/>
          <w:szCs w:val="21"/>
          <w:lang w:eastAsia="zh-CN"/>
        </w:rPr>
      </w:pPr>
    </w:p>
    <w:p w14:paraId="12CCFCC9">
      <w:pPr>
        <w:bidi w:val="0"/>
        <w:rPr>
          <w:rFonts w:hint="eastAsia"/>
          <w:sz w:val="21"/>
          <w:szCs w:val="21"/>
          <w:lang w:eastAsia="zh-CN"/>
        </w:rPr>
      </w:pPr>
    </w:p>
    <w:p w14:paraId="0D78C369">
      <w:pPr>
        <w:pStyle w:val="3"/>
        <w:bidi w:val="0"/>
        <w:jc w:val="center"/>
        <w:rPr>
          <w:rFonts w:hint="eastAsia"/>
          <w:b/>
          <w:sz w:val="21"/>
          <w:szCs w:val="18"/>
          <w:lang w:val="en-US" w:eastAsia="zh-CN"/>
        </w:rPr>
      </w:pPr>
      <w:bookmarkStart w:id="30" w:name="_Toc15332"/>
      <w:r>
        <w:rPr>
          <w:rFonts w:hint="eastAsia"/>
          <w:b/>
          <w:sz w:val="21"/>
          <w:szCs w:val="18"/>
          <w:lang w:val="en-US" w:eastAsia="zh-CN"/>
        </w:rPr>
        <w:t>参考文献</w:t>
      </w:r>
      <w:bookmarkEnd w:id="30"/>
    </w:p>
    <w:p w14:paraId="383F9855">
      <w:pPr>
        <w:bidi w:val="0"/>
        <w:ind w:firstLine="420" w:firstLineChars="200"/>
        <w:rPr>
          <w:rFonts w:hint="eastAsia"/>
          <w:sz w:val="21"/>
          <w:szCs w:val="21"/>
        </w:rPr>
      </w:pPr>
    </w:p>
    <w:p w14:paraId="16BBCCD9">
      <w:pPr>
        <w:bidi w:val="0"/>
        <w:ind w:firstLine="420" w:firstLineChars="200"/>
        <w:rPr>
          <w:rFonts w:hint="eastAsia"/>
          <w:sz w:val="21"/>
          <w:szCs w:val="21"/>
        </w:rPr>
      </w:pPr>
      <w:r>
        <w:rPr>
          <w:rFonts w:hint="eastAsia"/>
          <w:sz w:val="21"/>
          <w:szCs w:val="21"/>
        </w:rPr>
        <w:t>[1]中华人民共和国文物保护法</w:t>
      </w:r>
    </w:p>
    <w:p w14:paraId="2D071DE2">
      <w:pPr>
        <w:bidi w:val="0"/>
        <w:ind w:firstLine="420" w:firstLineChars="200"/>
        <w:rPr>
          <w:rFonts w:hint="eastAsia"/>
          <w:sz w:val="21"/>
          <w:szCs w:val="21"/>
        </w:rPr>
      </w:pPr>
      <w:r>
        <w:rPr>
          <w:rFonts w:hint="eastAsia"/>
          <w:sz w:val="21"/>
          <w:szCs w:val="21"/>
        </w:rPr>
        <w:t>[2]中华人民共和国文物保护法实施条例</w:t>
      </w:r>
    </w:p>
    <w:p w14:paraId="74BAD83D">
      <w:pPr>
        <w:bidi w:val="0"/>
        <w:ind w:firstLine="420" w:firstLineChars="200"/>
        <w:rPr>
          <w:rFonts w:hint="eastAsia"/>
          <w:sz w:val="21"/>
          <w:szCs w:val="21"/>
        </w:rPr>
      </w:pPr>
      <w:r>
        <w:rPr>
          <w:rFonts w:hint="eastAsia"/>
          <w:sz w:val="21"/>
          <w:szCs w:val="21"/>
        </w:rPr>
        <w:t>[3]中华人民共和国文物保护法实施细则</w:t>
      </w:r>
    </w:p>
    <w:p w14:paraId="4C2D0013">
      <w:pPr>
        <w:bidi w:val="0"/>
        <w:ind w:firstLine="420" w:firstLineChars="200"/>
        <w:rPr>
          <w:rFonts w:hint="eastAsia"/>
          <w:sz w:val="21"/>
          <w:szCs w:val="21"/>
        </w:rPr>
      </w:pPr>
      <w:r>
        <w:rPr>
          <w:rFonts w:hint="eastAsia"/>
          <w:sz w:val="21"/>
          <w:szCs w:val="21"/>
          <w:lang w:val="en-US" w:eastAsia="zh-CN"/>
        </w:rPr>
        <w:t>[4]</w:t>
      </w:r>
      <w:r>
        <w:rPr>
          <w:rFonts w:hint="eastAsia"/>
          <w:sz w:val="21"/>
          <w:szCs w:val="21"/>
        </w:rPr>
        <w:t>GB/T 30544.1-2014 文物保护技术术语</w:t>
      </w:r>
    </w:p>
    <w:p w14:paraId="10DDC0FE">
      <w:pPr>
        <w:bidi w:val="0"/>
        <w:ind w:firstLine="420" w:firstLineChars="200"/>
        <w:rPr>
          <w:rFonts w:hint="eastAsia"/>
          <w:sz w:val="21"/>
          <w:szCs w:val="21"/>
        </w:rPr>
      </w:pPr>
      <w:r>
        <w:rPr>
          <w:rFonts w:hint="eastAsia"/>
          <w:sz w:val="21"/>
          <w:szCs w:val="21"/>
          <w:lang w:val="en-US" w:eastAsia="zh-CN"/>
        </w:rPr>
        <w:t>[5]</w:t>
      </w:r>
      <w:r>
        <w:rPr>
          <w:rFonts w:hint="eastAsia"/>
          <w:sz w:val="21"/>
          <w:szCs w:val="21"/>
        </w:rPr>
        <w:t>GB/T 30235-2013 文物保护单位数字化保护规范</w:t>
      </w:r>
    </w:p>
    <w:p w14:paraId="13DAB8E2">
      <w:pPr>
        <w:bidi w:val="0"/>
        <w:ind w:firstLine="420" w:firstLineChars="200"/>
        <w:rPr>
          <w:rFonts w:hint="eastAsia" w:ascii="宋体" w:hAnsi="宋体" w:eastAsia="宋体" w:cs="宋体"/>
          <w:sz w:val="20"/>
          <w:szCs w:val="20"/>
        </w:rPr>
      </w:pPr>
      <w:r>
        <w:rPr>
          <w:rFonts w:hint="eastAsia"/>
          <w:sz w:val="21"/>
          <w:szCs w:val="21"/>
          <w:lang w:val="en-US" w:eastAsia="zh-CN"/>
        </w:rPr>
        <w:t>[6]</w:t>
      </w:r>
      <w:r>
        <w:rPr>
          <w:rFonts w:hint="eastAsia"/>
          <w:sz w:val="21"/>
          <w:szCs w:val="21"/>
        </w:rPr>
        <w:t>GB/T 18894-2016 电子文件归档与电子档案管理规范</w:t>
      </w:r>
    </w:p>
    <w:p w14:paraId="2034058B">
      <w:pPr>
        <w:bidi w:val="0"/>
        <w:jc w:val="left"/>
        <w:rPr>
          <w:rFonts w:hint="eastAsia" w:ascii="黑体" w:hAnsi="黑体" w:eastAsia="黑体" w:cs="黑体"/>
          <w:sz w:val="21"/>
          <w:szCs w:val="21"/>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57572">
    <w:pPr>
      <w:pStyle w:val="8"/>
      <w:tabs>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9693E">
    <w:pPr>
      <w:pStyle w:val="8"/>
      <w:tabs>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8F14A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8F14A2">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037BA">
    <w:pPr>
      <w:pStyle w:val="8"/>
      <w:tabs>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93779">
                          <w:pPr>
                            <w:pStyle w:val="8"/>
                          </w:pPr>
                          <w:r>
                            <w:t xml:space="preserve">— </w:t>
                          </w:r>
                          <w:r>
                            <w:fldChar w:fldCharType="begin"/>
                          </w:r>
                          <w:r>
                            <w:instrText xml:space="preserve"> PAGE  \* MERGEFORMAT </w:instrText>
                          </w:r>
                          <w:r>
                            <w:fldChar w:fldCharType="separate"/>
                          </w:r>
                          <w:r>
                            <w:t>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CC93779">
                    <w:pPr>
                      <w:pStyle w:val="8"/>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86337"/>
    <w:rsid w:val="00D85AC8"/>
    <w:rsid w:val="08C16076"/>
    <w:rsid w:val="0C27455C"/>
    <w:rsid w:val="10640391"/>
    <w:rsid w:val="243B6857"/>
    <w:rsid w:val="3CCD2F7B"/>
    <w:rsid w:val="5DF75EF8"/>
    <w:rsid w:val="64A86337"/>
    <w:rsid w:val="66C97765"/>
    <w:rsid w:val="70771172"/>
    <w:rsid w:val="76C00D90"/>
    <w:rsid w:val="7FC11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toc 2"/>
    <w:basedOn w:val="1"/>
    <w:next w:val="1"/>
    <w:uiPriority w:val="0"/>
    <w:pPr>
      <w:ind w:left="420" w:leftChars="200"/>
    </w:pPr>
  </w:style>
  <w:style w:type="paragraph" w:styleId="12">
    <w:name w:val="Normal (Web)"/>
    <w:basedOn w:val="1"/>
    <w:uiPriority w:val="0"/>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1181</Words>
  <Characters>1339</Characters>
  <Lines>0</Lines>
  <Paragraphs>0</Paragraphs>
  <TotalTime>6</TotalTime>
  <ScaleCrop>false</ScaleCrop>
  <LinksUpToDate>false</LinksUpToDate>
  <CharactersWithSpaces>1411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2026-07-29T02:56:00Z</dcterms:created>
  <dc:creator>HELLO</dc:creator>
  <cp:lastModifiedBy>HELLO</cp:lastModifiedBy>
  <dcterms:modified xsi:type="dcterms:W3CDTF">2026-08-03T02:56:19Z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3771AD6E529743EC95DF9A4883D03051_13</vt:lpwstr>
  </property>
  <property fmtid="{D5CDD505-2E9C-101B-9397-08002B2CF9AE}" pid="4" name="KSOTemplateDocerSaveRecord">
    <vt:lpwstr>eyJoZGlkIjoiYTczODFkMDRmZDUyMWNjNzdhODJhODIxZmYzMmY3MDYiLCJ1c2VySWQiOiIxMTU1NTY1MDcwIn0=</vt:lpwstr>
  </property>
</Properties>
</file>