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2011C">
      <w:pPr>
        <w:pStyle w:val="3"/>
        <w:bidi w:val="0"/>
        <w:jc w:val="center"/>
        <w:rPr>
          <w:lang w:val="en-US" w:eastAsia="zh-CN"/>
        </w:rPr>
      </w:pPr>
    </w:p>
    <w:p w14:paraId="24E0591F">
      <w:pPr>
        <w:pStyle w:val="3"/>
        <w:bidi w:val="0"/>
        <w:jc w:val="center"/>
        <w:rPr>
          <w:lang w:val="en-US" w:eastAsia="zh-CN"/>
        </w:rPr>
      </w:pPr>
    </w:p>
    <w:p w14:paraId="5E8680C8">
      <w:pPr>
        <w:pStyle w:val="3"/>
        <w:bidi w:val="0"/>
        <w:jc w:val="center"/>
      </w:pPr>
      <w:r>
        <w:rPr>
          <w:lang w:val="en-US" w:eastAsia="zh-CN"/>
        </w:rPr>
        <w:t>中国电子学会标准</w:t>
      </w:r>
    </w:p>
    <w:p w14:paraId="7AA3A96A">
      <w:pPr>
        <w:pStyle w:val="3"/>
        <w:bidi w:val="0"/>
        <w:jc w:val="center"/>
      </w:pPr>
      <w:r>
        <w:rPr>
          <w:rFonts w:hint="eastAsia"/>
          <w:lang w:val="en-US" w:eastAsia="zh-CN"/>
        </w:rPr>
        <w:t>《</w:t>
      </w:r>
      <w:r>
        <w:t>石窟寺类文物三维数据体系建设规范</w:t>
      </w:r>
      <w:r>
        <w:rPr>
          <w:rFonts w:hint="eastAsia"/>
          <w:lang w:val="en-US" w:eastAsia="zh-CN"/>
        </w:rPr>
        <w:t>》</w:t>
      </w:r>
    </w:p>
    <w:p w14:paraId="4DEC8267">
      <w:pPr>
        <w:pStyle w:val="3"/>
        <w:bidi w:val="0"/>
        <w:jc w:val="center"/>
        <w:rPr>
          <w:rFonts w:hint="eastAsia"/>
          <w:lang w:val="en-US" w:eastAsia="zh-CN"/>
        </w:rPr>
      </w:pPr>
      <w:r>
        <w:rPr>
          <w:rFonts w:hint="eastAsia"/>
          <w:lang w:val="en-US" w:eastAsia="zh-CN"/>
        </w:rPr>
        <w:t>编制说明</w:t>
      </w:r>
    </w:p>
    <w:p w14:paraId="08D1B394">
      <w:pPr>
        <w:rPr>
          <w:rFonts w:hint="eastAsia"/>
          <w:lang w:val="en-US" w:eastAsia="zh-CN"/>
        </w:rPr>
      </w:pPr>
    </w:p>
    <w:p w14:paraId="58732FC1">
      <w:pPr>
        <w:rPr>
          <w:rFonts w:hint="eastAsia"/>
          <w:lang w:val="en-US" w:eastAsia="zh-CN"/>
        </w:rPr>
      </w:pPr>
    </w:p>
    <w:p w14:paraId="62BB48E7">
      <w:pPr>
        <w:rPr>
          <w:rFonts w:hint="eastAsia"/>
          <w:lang w:val="en-US" w:eastAsia="zh-CN"/>
        </w:rPr>
      </w:pPr>
    </w:p>
    <w:p w14:paraId="3FF0F368">
      <w:pPr>
        <w:rPr>
          <w:rFonts w:hint="eastAsia"/>
          <w:lang w:val="en-US" w:eastAsia="zh-CN"/>
        </w:rPr>
      </w:pPr>
    </w:p>
    <w:p w14:paraId="62FE8A08">
      <w:pPr>
        <w:rPr>
          <w:rFonts w:hint="eastAsia"/>
          <w:lang w:val="en-US" w:eastAsia="zh-CN"/>
        </w:rPr>
      </w:pPr>
    </w:p>
    <w:p w14:paraId="1B23F3DB">
      <w:pPr>
        <w:rPr>
          <w:rFonts w:hint="eastAsia"/>
          <w:lang w:val="en-US" w:eastAsia="zh-CN"/>
        </w:rPr>
      </w:pPr>
    </w:p>
    <w:p w14:paraId="1F1E5A0E">
      <w:pPr>
        <w:rPr>
          <w:rFonts w:hint="eastAsia"/>
          <w:lang w:val="en-US" w:eastAsia="zh-CN"/>
        </w:rPr>
      </w:pPr>
    </w:p>
    <w:p w14:paraId="0188E7F2">
      <w:pPr>
        <w:rPr>
          <w:rFonts w:hint="eastAsia"/>
          <w:lang w:val="en-US" w:eastAsia="zh-CN"/>
        </w:rPr>
      </w:pPr>
    </w:p>
    <w:p w14:paraId="4179E463">
      <w:pPr>
        <w:rPr>
          <w:rFonts w:hint="eastAsia"/>
          <w:lang w:val="en-US" w:eastAsia="zh-CN"/>
        </w:rPr>
      </w:pPr>
    </w:p>
    <w:p w14:paraId="732AAF28">
      <w:pPr>
        <w:rPr>
          <w:rFonts w:hint="eastAsia"/>
          <w:lang w:val="en-US" w:eastAsia="zh-CN"/>
        </w:rPr>
      </w:pPr>
    </w:p>
    <w:p w14:paraId="61469DE7">
      <w:pPr>
        <w:rPr>
          <w:rFonts w:hint="eastAsia"/>
          <w:lang w:val="en-US" w:eastAsia="zh-CN"/>
        </w:rPr>
      </w:pPr>
    </w:p>
    <w:p w14:paraId="174AF06E">
      <w:pPr>
        <w:rPr>
          <w:rFonts w:hint="eastAsia"/>
          <w:lang w:val="en-US" w:eastAsia="zh-CN"/>
        </w:rPr>
      </w:pPr>
    </w:p>
    <w:p w14:paraId="56F4AE33">
      <w:pPr>
        <w:rPr>
          <w:rFonts w:hint="eastAsia"/>
          <w:lang w:val="en-US" w:eastAsia="zh-CN"/>
        </w:rPr>
      </w:pPr>
    </w:p>
    <w:p w14:paraId="742ED368">
      <w:pPr>
        <w:rPr>
          <w:rFonts w:hint="eastAsia"/>
          <w:lang w:val="en-US" w:eastAsia="zh-CN"/>
        </w:rPr>
      </w:pPr>
    </w:p>
    <w:p w14:paraId="316EE8D6">
      <w:pPr>
        <w:rPr>
          <w:rFonts w:hint="eastAsia"/>
          <w:lang w:val="en-US" w:eastAsia="zh-CN"/>
        </w:rPr>
      </w:pPr>
    </w:p>
    <w:p w14:paraId="374802FE">
      <w:pPr>
        <w:rPr>
          <w:rFonts w:hint="eastAsia"/>
          <w:lang w:val="en-US" w:eastAsia="zh-CN"/>
        </w:rPr>
      </w:pPr>
    </w:p>
    <w:p w14:paraId="080864A6">
      <w:pPr>
        <w:rPr>
          <w:rFonts w:hint="eastAsia"/>
          <w:lang w:val="en-US" w:eastAsia="zh-CN"/>
        </w:rPr>
      </w:pPr>
    </w:p>
    <w:p w14:paraId="7DF5C8DD">
      <w:pPr>
        <w:rPr>
          <w:rFonts w:hint="eastAsia"/>
          <w:lang w:val="en-US" w:eastAsia="zh-CN"/>
        </w:rPr>
      </w:pPr>
    </w:p>
    <w:p w14:paraId="69BADA6A">
      <w:pPr>
        <w:rPr>
          <w:rFonts w:hint="eastAsia"/>
          <w:lang w:val="en-US" w:eastAsia="zh-CN"/>
        </w:rPr>
      </w:pPr>
    </w:p>
    <w:p w14:paraId="0BBCB85B">
      <w:pPr>
        <w:rPr>
          <w:rFonts w:hint="eastAsia"/>
          <w:lang w:val="en-US" w:eastAsia="zh-CN"/>
        </w:rPr>
      </w:pPr>
    </w:p>
    <w:p w14:paraId="5E86340F">
      <w:pPr>
        <w:rPr>
          <w:rFonts w:hint="eastAsia"/>
          <w:lang w:val="en-US" w:eastAsia="zh-CN"/>
        </w:rPr>
      </w:pPr>
    </w:p>
    <w:p w14:paraId="111F2C56">
      <w:pPr>
        <w:rPr>
          <w:rFonts w:hint="eastAsia"/>
          <w:lang w:val="en-US" w:eastAsia="zh-CN"/>
        </w:rPr>
      </w:pPr>
    </w:p>
    <w:p w14:paraId="66D65EAA">
      <w:pPr>
        <w:rPr>
          <w:rFonts w:hint="eastAsia"/>
          <w:lang w:val="en-US" w:eastAsia="zh-CN"/>
        </w:rPr>
      </w:pPr>
    </w:p>
    <w:p w14:paraId="3DB83EF7">
      <w:pPr>
        <w:rPr>
          <w:rFonts w:hint="eastAsia"/>
          <w:lang w:val="en-US" w:eastAsia="zh-CN"/>
        </w:rPr>
      </w:pPr>
    </w:p>
    <w:p w14:paraId="3BFC855D">
      <w:pPr>
        <w:rPr>
          <w:rFonts w:hint="eastAsia"/>
          <w:lang w:val="en-US" w:eastAsia="zh-CN"/>
        </w:rPr>
      </w:pPr>
    </w:p>
    <w:p w14:paraId="2920E55B">
      <w:pPr>
        <w:pStyle w:val="3"/>
        <w:bidi w:val="0"/>
        <w:jc w:val="center"/>
        <w:rPr>
          <w:lang w:val="en-US" w:eastAsia="zh-CN"/>
        </w:rPr>
      </w:pPr>
      <w:r>
        <w:rPr>
          <w:rFonts w:hint="eastAsia"/>
          <w:lang w:val="en-US" w:eastAsia="zh-CN"/>
        </w:rPr>
        <w:t>2026年4月</w:t>
      </w:r>
    </w:p>
    <w:p w14:paraId="7D7126B2"/>
    <w:p w14:paraId="3A63F375">
      <w:pPr>
        <w:pStyle w:val="3"/>
        <w:keepNext w:val="0"/>
        <w:keepLines w:val="0"/>
        <w:widowControl/>
        <w:suppressLineNumbers w:val="0"/>
      </w:pPr>
      <w:r>
        <w:t>一、工作简况</w:t>
      </w:r>
    </w:p>
    <w:p w14:paraId="083ABFE1">
      <w:pPr>
        <w:pStyle w:val="4"/>
        <w:keepNext w:val="0"/>
        <w:keepLines w:val="0"/>
        <w:widowControl/>
        <w:suppressLineNumbers w:val="0"/>
      </w:pPr>
      <w:r>
        <w:t>1.任务来源与起草单位</w:t>
      </w:r>
    </w:p>
    <w:p w14:paraId="7F601A8B">
      <w:pPr>
        <w:ind w:firstLine="480" w:firstLineChars="200"/>
        <w:rPr>
          <w:rFonts w:hint="eastAsia" w:ascii="宋体" w:hAnsi="宋体" w:eastAsia="宋体" w:cs="宋体"/>
          <w:sz w:val="24"/>
          <w:szCs w:val="24"/>
        </w:rPr>
      </w:pPr>
      <w:r>
        <w:rPr>
          <w:rFonts w:hint="eastAsia" w:ascii="宋体" w:hAnsi="宋体" w:eastAsia="宋体" w:cs="宋体"/>
          <w:sz w:val="24"/>
          <w:szCs w:val="24"/>
        </w:rPr>
        <w:t>石窟寺是我国重要的文化遗产类型，具有体系完整、内容丰富、结构复杂等特点。当前，石窟寺类文物三维数据的采集、处理、存储、管理及应用各环节仍面临标准不统一、数据格式多样、质量参差不齐等问题，制约了数据的规范管理与共享共用。根据《国务院办公厅关于加强石窟寺保护利用工作的指导意见》和《“十四五”石窟寺保护利用专项规划》，要求“加快制定石窟寺数据采集、加工、存储、管理等方面的标准规范”。</w:t>
      </w:r>
    </w:p>
    <w:p w14:paraId="4F626966">
      <w:pPr>
        <w:ind w:firstLine="480" w:firstLineChars="200"/>
        <w:rPr>
          <w:rFonts w:hint="eastAsia" w:ascii="宋体" w:hAnsi="宋体" w:eastAsia="宋体" w:cs="宋体"/>
          <w:sz w:val="24"/>
          <w:szCs w:val="24"/>
        </w:rPr>
      </w:pPr>
      <w:r>
        <w:rPr>
          <w:rFonts w:hint="eastAsia" w:ascii="宋体" w:hAnsi="宋体" w:eastAsia="宋体" w:cs="宋体"/>
          <w:sz w:val="24"/>
          <w:szCs w:val="24"/>
        </w:rPr>
        <w:t>本标准《石窟寺类文物三维数据体系建设规范》由中国电子学会（T/CIE）提出并归口，由云冈研究院牵头，联合大同云冈数字科技有限公司、中国国家博物馆、湖南大学、中国文物信息交流中心、浙江大学、武汉大学、大同煤炭职业技术学院等单位共同编制。</w:t>
      </w:r>
    </w:p>
    <w:p w14:paraId="63DFA519">
      <w:pPr>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本标准编制工作依托国家重点研发计划“文化科技与现代服务业”专项“文物数字资源管理与利用标准体系研究”（2023YFF0906500）相关课题展开</w:t>
      </w:r>
      <w:r>
        <w:rPr>
          <w:rFonts w:hint="eastAsia" w:ascii="宋体" w:hAnsi="宋体" w:eastAsia="宋体" w:cs="宋体"/>
          <w:sz w:val="24"/>
          <w:szCs w:val="24"/>
          <w:lang w:eastAsia="zh-CN"/>
        </w:rPr>
        <w:t>。</w:t>
      </w:r>
    </w:p>
    <w:p w14:paraId="45A7F12E">
      <w:pPr>
        <w:pStyle w:val="4"/>
        <w:keepNext w:val="0"/>
        <w:keepLines w:val="0"/>
        <w:widowControl/>
        <w:suppressLineNumbers w:val="0"/>
      </w:pPr>
      <w:r>
        <w:t>2.主要工作过程与主要起草人所做工作</w:t>
      </w:r>
    </w:p>
    <w:p w14:paraId="005800A0">
      <w:pPr>
        <w:ind w:firstLine="480" w:firstLineChars="200"/>
        <w:rPr>
          <w:rFonts w:hint="eastAsia" w:ascii="宋体" w:hAnsi="宋体" w:eastAsia="宋体" w:cs="宋体"/>
          <w:sz w:val="24"/>
          <w:szCs w:val="24"/>
        </w:rPr>
      </w:pPr>
      <w:r>
        <w:rPr>
          <w:rFonts w:hint="eastAsia" w:ascii="宋体" w:hAnsi="宋体" w:eastAsia="宋体" w:cs="宋体"/>
          <w:sz w:val="24"/>
          <w:szCs w:val="24"/>
        </w:rPr>
        <w:t>本标准牵头单位云冈研究院牵头组建工作组，联合中国国家博物馆、湖南大学、浙江大学、武汉大学等多家单位，围绕“石窟寺类文物三维数据体系建设”这一研究对象，采用“线上+线下”相结合的方式，积极开展文献研究、实地调研、专家研讨等工作，同时结合云冈石窟等石窟寺数字化保护的实践经验，提出并逐步完善本标准的框架和大纲。</w:t>
      </w:r>
    </w:p>
    <w:p w14:paraId="7328298A">
      <w:pPr>
        <w:ind w:firstLine="480" w:firstLineChars="200"/>
        <w:rPr>
          <w:rFonts w:hint="eastAsia" w:ascii="宋体" w:hAnsi="宋体" w:eastAsia="宋体" w:cs="宋体"/>
          <w:sz w:val="24"/>
          <w:szCs w:val="24"/>
        </w:rPr>
      </w:pPr>
      <w:r>
        <w:rPr>
          <w:rFonts w:hint="eastAsia" w:ascii="宋体" w:hAnsi="宋体" w:eastAsia="宋体" w:cs="宋体"/>
          <w:sz w:val="24"/>
          <w:szCs w:val="24"/>
        </w:rPr>
        <w:t>在标准具体技术内容的提出和确定中，研究团队一方面参考了国内外相关标准规范，如WW/T 0117-2023《石窟寺三维数字化采集与加工》、DB14/T 2873-2023《石窟寺文物近景摄影测量三维数字化采集规程》等；另一方面基于云冈石窟多年数字化保护的实践经验，对三维数据分类、数据分级、数据标注、数据存储与管理、数据质量控制等内容进行了系统梳理和规范。主要起草人在研制过程中听取了大量的意见建议，经过多次修订，完成了目前的《征求意见稿》。各起草人的主要工作如下：</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1284"/>
        <w:gridCol w:w="1809"/>
        <w:gridCol w:w="2538"/>
        <w:gridCol w:w="2915"/>
      </w:tblGrid>
      <w:tr w14:paraId="1B65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trPr>
        <w:tc>
          <w:tcPr>
            <w:tcW w:w="1284" w:type="dxa"/>
            <w:shd w:val="clear" w:color="auto" w:fill="FFFFFF"/>
            <w:tcMar>
              <w:top w:w="150" w:type="dxa"/>
              <w:left w:w="0" w:type="dxa"/>
              <w:bottom w:w="150" w:type="dxa"/>
              <w:right w:w="240" w:type="dxa"/>
            </w:tcMar>
            <w:vAlign w:val="center"/>
          </w:tcPr>
          <w:p w14:paraId="3EB9C453">
            <w:pPr>
              <w:keepNext w:val="0"/>
              <w:keepLines w:val="0"/>
              <w:widowControl/>
              <w:suppressLineNumbers w:val="0"/>
              <w:spacing w:line="375" w:lineRule="atLeast"/>
              <w:jc w:val="center"/>
              <w:rPr>
                <w:rFonts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姓名</w:t>
            </w:r>
          </w:p>
        </w:tc>
        <w:tc>
          <w:tcPr>
            <w:tcW w:w="1809" w:type="dxa"/>
            <w:shd w:val="clear" w:color="auto" w:fill="FFFFFF"/>
            <w:tcMar>
              <w:top w:w="150" w:type="dxa"/>
              <w:left w:w="240" w:type="dxa"/>
              <w:bottom w:w="150" w:type="dxa"/>
              <w:right w:w="240" w:type="dxa"/>
            </w:tcMar>
            <w:vAlign w:val="center"/>
          </w:tcPr>
          <w:p w14:paraId="570BFDB0">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工作单位</w:t>
            </w:r>
          </w:p>
        </w:tc>
        <w:tc>
          <w:tcPr>
            <w:tcW w:w="0" w:type="auto"/>
            <w:shd w:val="clear" w:color="auto" w:fill="FFFFFF"/>
            <w:tcMar>
              <w:top w:w="150" w:type="dxa"/>
              <w:left w:w="240" w:type="dxa"/>
              <w:bottom w:w="150" w:type="dxa"/>
              <w:right w:w="240" w:type="dxa"/>
            </w:tcMar>
            <w:vAlign w:val="center"/>
          </w:tcPr>
          <w:p w14:paraId="36AC0E8D">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职称/职务</w:t>
            </w:r>
          </w:p>
        </w:tc>
        <w:tc>
          <w:tcPr>
            <w:tcW w:w="0" w:type="auto"/>
            <w:shd w:val="clear" w:color="auto" w:fill="FFFFFF"/>
            <w:tcMar>
              <w:top w:w="150" w:type="dxa"/>
              <w:left w:w="240" w:type="dxa"/>
              <w:bottom w:w="150" w:type="dxa"/>
              <w:right w:w="240" w:type="dxa"/>
            </w:tcMar>
            <w:vAlign w:val="center"/>
          </w:tcPr>
          <w:p w14:paraId="5FDB7EF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承担任务</w:t>
            </w:r>
          </w:p>
        </w:tc>
      </w:tr>
      <w:tr w14:paraId="67BC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c>
          <w:tcPr>
            <w:tcW w:w="1284" w:type="dxa"/>
            <w:shd w:val="clear" w:color="auto" w:fill="FFFFFF"/>
            <w:tcMar>
              <w:top w:w="150" w:type="dxa"/>
              <w:left w:w="0" w:type="dxa"/>
              <w:bottom w:w="150" w:type="dxa"/>
              <w:right w:w="240" w:type="dxa"/>
            </w:tcMar>
            <w:vAlign w:val="center"/>
          </w:tcPr>
          <w:p w14:paraId="470509D6">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宁波</w:t>
            </w:r>
          </w:p>
        </w:tc>
        <w:tc>
          <w:tcPr>
            <w:tcW w:w="1809" w:type="dxa"/>
            <w:shd w:val="clear" w:color="auto" w:fill="FFFFFF"/>
            <w:tcMar>
              <w:top w:w="150" w:type="dxa"/>
              <w:left w:w="240" w:type="dxa"/>
              <w:bottom w:w="150" w:type="dxa"/>
              <w:right w:w="240" w:type="dxa"/>
            </w:tcMar>
            <w:vAlign w:val="center"/>
          </w:tcPr>
          <w:p w14:paraId="24F041DF">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云冈研究院</w:t>
            </w:r>
          </w:p>
        </w:tc>
        <w:tc>
          <w:tcPr>
            <w:tcW w:w="2538" w:type="dxa"/>
            <w:shd w:val="clear" w:color="auto" w:fill="FFFFFF"/>
            <w:tcMar>
              <w:top w:w="150" w:type="dxa"/>
              <w:left w:w="240" w:type="dxa"/>
              <w:bottom w:w="150" w:type="dxa"/>
              <w:right w:w="240" w:type="dxa"/>
            </w:tcMar>
            <w:vAlign w:val="center"/>
          </w:tcPr>
          <w:p w14:paraId="227F0695">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副研究</w:t>
            </w:r>
            <w:r>
              <w:rPr>
                <w:rFonts w:hint="eastAsia" w:ascii="宋体" w:hAnsi="宋体" w:eastAsia="宋体" w:cs="宋体"/>
                <w:kern w:val="0"/>
                <w:sz w:val="24"/>
                <w:szCs w:val="24"/>
                <w:lang w:val="en-US" w:eastAsia="zh-CN" w:bidi="ar"/>
              </w:rPr>
              <w:t>馆</w:t>
            </w:r>
            <w:r>
              <w:rPr>
                <w:rFonts w:ascii="宋体" w:hAnsi="宋体" w:eastAsia="宋体" w:cs="宋体"/>
                <w:kern w:val="0"/>
                <w:sz w:val="24"/>
                <w:szCs w:val="24"/>
                <w:lang w:val="en-US" w:eastAsia="zh-CN" w:bidi="ar"/>
              </w:rPr>
              <w:t>员/</w:t>
            </w:r>
            <w:r>
              <w:rPr>
                <w:rFonts w:hint="eastAsia" w:ascii="宋体" w:hAnsi="宋体" w:eastAsia="宋体" w:cs="宋体"/>
                <w:kern w:val="0"/>
                <w:sz w:val="24"/>
                <w:szCs w:val="24"/>
                <w:lang w:val="en-US" w:eastAsia="zh-CN" w:bidi="ar"/>
              </w:rPr>
              <w:t>云冈研究院副院长、</w:t>
            </w:r>
            <w:r>
              <w:rPr>
                <w:rFonts w:ascii="宋体" w:hAnsi="宋体" w:eastAsia="宋体" w:cs="宋体"/>
                <w:kern w:val="0"/>
                <w:sz w:val="24"/>
                <w:szCs w:val="24"/>
                <w:lang w:val="en-US" w:eastAsia="zh-CN" w:bidi="ar"/>
              </w:rPr>
              <w:t>数字化保护中心主任</w:t>
            </w:r>
          </w:p>
        </w:tc>
        <w:tc>
          <w:tcPr>
            <w:tcW w:w="2915" w:type="dxa"/>
            <w:shd w:val="clear" w:color="auto" w:fill="FFFFFF"/>
            <w:tcMar>
              <w:top w:w="150" w:type="dxa"/>
              <w:left w:w="240" w:type="dxa"/>
              <w:bottom w:w="150" w:type="dxa"/>
              <w:right w:w="0" w:type="dxa"/>
            </w:tcMar>
            <w:vAlign w:val="center"/>
          </w:tcPr>
          <w:p w14:paraId="38F70722">
            <w:pPr>
              <w:keepNext w:val="0"/>
              <w:keepLines w:val="0"/>
              <w:widowControl/>
              <w:suppressLineNumbers w:val="0"/>
              <w:jc w:val="left"/>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标准总体规划、整体框架搭建、石窟行业需求梳理、试点验证统筹</w:t>
            </w:r>
          </w:p>
        </w:tc>
      </w:tr>
      <w:tr w14:paraId="4B39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284" w:type="dxa"/>
            <w:shd w:val="clear" w:color="auto" w:fill="FFFFFF"/>
            <w:tcMar>
              <w:top w:w="150" w:type="dxa"/>
              <w:left w:w="0" w:type="dxa"/>
              <w:bottom w:w="150" w:type="dxa"/>
              <w:right w:w="240" w:type="dxa"/>
            </w:tcMar>
            <w:vAlign w:val="center"/>
          </w:tcPr>
          <w:p w14:paraId="7B62DBF6">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谷立鹏</w:t>
            </w:r>
          </w:p>
        </w:tc>
        <w:tc>
          <w:tcPr>
            <w:tcW w:w="1809" w:type="dxa"/>
            <w:shd w:val="clear" w:color="auto" w:fill="FFFFFF"/>
            <w:tcMar>
              <w:top w:w="150" w:type="dxa"/>
              <w:left w:w="240" w:type="dxa"/>
              <w:bottom w:w="150" w:type="dxa"/>
              <w:right w:w="240" w:type="dxa"/>
            </w:tcMar>
            <w:vAlign w:val="center"/>
          </w:tcPr>
          <w:p w14:paraId="09CDF618">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云冈研究院</w:t>
            </w:r>
          </w:p>
        </w:tc>
        <w:tc>
          <w:tcPr>
            <w:tcW w:w="2538" w:type="dxa"/>
            <w:shd w:val="clear" w:color="auto" w:fill="FFFFFF"/>
            <w:tcMar>
              <w:top w:w="150" w:type="dxa"/>
              <w:left w:w="240" w:type="dxa"/>
              <w:bottom w:w="150" w:type="dxa"/>
              <w:right w:w="240" w:type="dxa"/>
            </w:tcMar>
            <w:vAlign w:val="center"/>
          </w:tcPr>
          <w:p w14:paraId="47ED1953">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馆员/数字化保护中心科员</w:t>
            </w:r>
          </w:p>
        </w:tc>
        <w:tc>
          <w:tcPr>
            <w:tcW w:w="2915" w:type="dxa"/>
            <w:shd w:val="clear" w:color="auto" w:fill="FFFFFF"/>
            <w:tcMar>
              <w:top w:w="150" w:type="dxa"/>
              <w:left w:w="240" w:type="dxa"/>
              <w:bottom w:w="150" w:type="dxa"/>
              <w:right w:w="0" w:type="dxa"/>
            </w:tcMar>
            <w:vAlign w:val="center"/>
          </w:tcPr>
          <w:p w14:paraId="6CDE1A52">
            <w:pPr>
              <w:keepNext w:val="0"/>
              <w:keepLines w:val="0"/>
              <w:widowControl/>
              <w:suppressLineNumbers w:val="0"/>
              <w:jc w:val="left"/>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前期全域调研、石窟现场数据采集试验、病害标注条款编制</w:t>
            </w:r>
          </w:p>
        </w:tc>
      </w:tr>
      <w:tr w14:paraId="1A90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284" w:type="dxa"/>
            <w:shd w:val="clear" w:color="auto" w:fill="FFFFFF"/>
            <w:tcMar>
              <w:top w:w="150" w:type="dxa"/>
              <w:left w:w="0" w:type="dxa"/>
              <w:bottom w:w="150" w:type="dxa"/>
              <w:right w:w="240" w:type="dxa"/>
            </w:tcMar>
            <w:vAlign w:val="center"/>
          </w:tcPr>
          <w:p w14:paraId="6507EF92">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吴佳丽</w:t>
            </w:r>
          </w:p>
        </w:tc>
        <w:tc>
          <w:tcPr>
            <w:tcW w:w="1809" w:type="dxa"/>
            <w:shd w:val="clear" w:color="auto" w:fill="FFFFFF"/>
            <w:tcMar>
              <w:top w:w="150" w:type="dxa"/>
              <w:left w:w="240" w:type="dxa"/>
              <w:bottom w:w="150" w:type="dxa"/>
              <w:right w:w="240" w:type="dxa"/>
            </w:tcMar>
            <w:vAlign w:val="center"/>
          </w:tcPr>
          <w:p w14:paraId="1976370C">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hint="eastAsia" w:ascii="宋体" w:hAnsi="宋体" w:eastAsia="宋体" w:cs="宋体"/>
                <w:kern w:val="0"/>
                <w:sz w:val="24"/>
                <w:szCs w:val="24"/>
                <w:lang w:val="en-US" w:eastAsia="zh-CN" w:bidi="ar"/>
              </w:rPr>
              <w:t>云冈研究院</w:t>
            </w:r>
          </w:p>
        </w:tc>
        <w:tc>
          <w:tcPr>
            <w:tcW w:w="2538" w:type="dxa"/>
            <w:shd w:val="clear" w:color="auto" w:fill="FFFFFF"/>
            <w:tcMar>
              <w:top w:w="150" w:type="dxa"/>
              <w:left w:w="240" w:type="dxa"/>
              <w:bottom w:w="150" w:type="dxa"/>
              <w:right w:w="240" w:type="dxa"/>
            </w:tcMar>
            <w:vAlign w:val="center"/>
          </w:tcPr>
          <w:p w14:paraId="2EF19738">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hint="eastAsia" w:ascii="宋体" w:hAnsi="宋体" w:eastAsia="宋体" w:cs="宋体"/>
                <w:kern w:val="0"/>
                <w:sz w:val="24"/>
                <w:szCs w:val="24"/>
                <w:lang w:val="en-US" w:eastAsia="zh-CN" w:bidi="ar"/>
              </w:rPr>
              <w:t>助理</w:t>
            </w:r>
            <w:r>
              <w:rPr>
                <w:rFonts w:ascii="宋体" w:hAnsi="宋体" w:eastAsia="宋体" w:cs="宋体"/>
                <w:kern w:val="0"/>
                <w:sz w:val="24"/>
                <w:szCs w:val="24"/>
                <w:lang w:val="en-US" w:eastAsia="zh-CN" w:bidi="ar"/>
              </w:rPr>
              <w:t>馆员/数字化保护中心科员</w:t>
            </w:r>
          </w:p>
        </w:tc>
        <w:tc>
          <w:tcPr>
            <w:tcW w:w="2915" w:type="dxa"/>
            <w:shd w:val="clear" w:color="auto" w:fill="FFFFFF"/>
            <w:tcMar>
              <w:top w:w="150" w:type="dxa"/>
              <w:left w:w="240" w:type="dxa"/>
              <w:bottom w:w="150" w:type="dxa"/>
              <w:right w:w="0" w:type="dxa"/>
            </w:tcMar>
            <w:vAlign w:val="center"/>
          </w:tcPr>
          <w:p w14:paraId="74371229">
            <w:pPr>
              <w:keepNext w:val="0"/>
              <w:keepLines w:val="0"/>
              <w:widowControl/>
              <w:suppressLineNumbers w:val="0"/>
              <w:jc w:val="left"/>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三维数据存储格式、数据库架构、备份恢复技术内容撰写</w:t>
            </w:r>
          </w:p>
        </w:tc>
      </w:tr>
      <w:tr w14:paraId="2514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284" w:type="dxa"/>
            <w:shd w:val="clear" w:color="auto" w:fill="FFFFFF"/>
            <w:tcMar>
              <w:top w:w="150" w:type="dxa"/>
              <w:left w:w="0" w:type="dxa"/>
              <w:bottom w:w="150" w:type="dxa"/>
              <w:right w:w="240" w:type="dxa"/>
            </w:tcMar>
            <w:vAlign w:val="center"/>
          </w:tcPr>
          <w:p w14:paraId="69C1932E">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张皓男</w:t>
            </w:r>
          </w:p>
        </w:tc>
        <w:tc>
          <w:tcPr>
            <w:tcW w:w="1809" w:type="dxa"/>
            <w:shd w:val="clear" w:color="auto" w:fill="FFFFFF"/>
            <w:tcMar>
              <w:top w:w="150" w:type="dxa"/>
              <w:left w:w="240" w:type="dxa"/>
              <w:bottom w:w="150" w:type="dxa"/>
              <w:right w:w="240" w:type="dxa"/>
            </w:tcMar>
            <w:vAlign w:val="center"/>
          </w:tcPr>
          <w:p w14:paraId="26BBDCF4">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hint="eastAsia" w:ascii="宋体" w:hAnsi="宋体" w:eastAsia="宋体" w:cs="宋体"/>
                <w:kern w:val="0"/>
                <w:sz w:val="24"/>
                <w:szCs w:val="24"/>
                <w:lang w:val="en-US" w:eastAsia="zh-CN" w:bidi="ar"/>
              </w:rPr>
              <w:t>云冈研究院</w:t>
            </w:r>
          </w:p>
        </w:tc>
        <w:tc>
          <w:tcPr>
            <w:tcW w:w="2538" w:type="dxa"/>
            <w:shd w:val="clear" w:color="auto" w:fill="FFFFFF"/>
            <w:tcMar>
              <w:top w:w="150" w:type="dxa"/>
              <w:left w:w="240" w:type="dxa"/>
              <w:bottom w:w="150" w:type="dxa"/>
              <w:right w:w="240" w:type="dxa"/>
            </w:tcMar>
            <w:vAlign w:val="center"/>
          </w:tcPr>
          <w:p w14:paraId="24A326F6">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hint="eastAsia" w:ascii="宋体" w:hAnsi="宋体" w:eastAsia="宋体" w:cs="宋体"/>
                <w:kern w:val="0"/>
                <w:sz w:val="24"/>
                <w:szCs w:val="24"/>
                <w:lang w:val="en-US" w:eastAsia="zh-CN" w:bidi="ar"/>
              </w:rPr>
              <w:t>助理</w:t>
            </w:r>
            <w:r>
              <w:rPr>
                <w:rFonts w:ascii="宋体" w:hAnsi="宋体" w:eastAsia="宋体" w:cs="宋体"/>
                <w:kern w:val="0"/>
                <w:sz w:val="24"/>
                <w:szCs w:val="24"/>
                <w:lang w:val="en-US" w:eastAsia="zh-CN" w:bidi="ar"/>
              </w:rPr>
              <w:t>馆员/数字化保护中心科员</w:t>
            </w:r>
          </w:p>
        </w:tc>
        <w:tc>
          <w:tcPr>
            <w:tcW w:w="2915" w:type="dxa"/>
            <w:shd w:val="clear" w:color="auto" w:fill="FFFFFF"/>
            <w:tcMar>
              <w:top w:w="150" w:type="dxa"/>
              <w:left w:w="240" w:type="dxa"/>
              <w:bottom w:w="150" w:type="dxa"/>
              <w:right w:w="0" w:type="dxa"/>
            </w:tcMar>
            <w:vAlign w:val="center"/>
          </w:tcPr>
          <w:p w14:paraId="7EF49F3A">
            <w:pPr>
              <w:keepNext w:val="0"/>
              <w:keepLines w:val="0"/>
              <w:widowControl/>
              <w:suppressLineNumbers w:val="0"/>
              <w:jc w:val="left"/>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激光扫描、摄影测量数据分类、精度分级指标测算与验证</w:t>
            </w:r>
          </w:p>
        </w:tc>
      </w:tr>
      <w:tr w14:paraId="7B21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284" w:type="dxa"/>
            <w:shd w:val="clear" w:color="auto" w:fill="FFFFFF"/>
            <w:tcMar>
              <w:top w:w="150" w:type="dxa"/>
              <w:left w:w="0" w:type="dxa"/>
              <w:bottom w:w="150" w:type="dxa"/>
              <w:right w:w="240" w:type="dxa"/>
            </w:tcMar>
            <w:vAlign w:val="center"/>
          </w:tcPr>
          <w:p w14:paraId="59AA8003">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王家鑫</w:t>
            </w:r>
          </w:p>
        </w:tc>
        <w:tc>
          <w:tcPr>
            <w:tcW w:w="1809" w:type="dxa"/>
            <w:shd w:val="clear" w:color="auto" w:fill="FFFFFF"/>
            <w:tcMar>
              <w:top w:w="150" w:type="dxa"/>
              <w:left w:w="240" w:type="dxa"/>
              <w:bottom w:w="150" w:type="dxa"/>
              <w:right w:w="240" w:type="dxa"/>
            </w:tcMar>
            <w:vAlign w:val="center"/>
          </w:tcPr>
          <w:p w14:paraId="31F8646D">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hint="eastAsia" w:ascii="宋体" w:hAnsi="宋体" w:eastAsia="宋体" w:cs="宋体"/>
                <w:kern w:val="0"/>
                <w:sz w:val="24"/>
                <w:szCs w:val="24"/>
                <w:lang w:val="en-US" w:eastAsia="zh-CN" w:bidi="ar"/>
              </w:rPr>
              <w:t>大同云冈数字科技有限公司</w:t>
            </w:r>
          </w:p>
        </w:tc>
        <w:tc>
          <w:tcPr>
            <w:tcW w:w="2538" w:type="dxa"/>
            <w:shd w:val="clear" w:color="auto" w:fill="FFFFFF"/>
            <w:tcMar>
              <w:top w:w="150" w:type="dxa"/>
              <w:left w:w="240" w:type="dxa"/>
              <w:bottom w:w="150" w:type="dxa"/>
              <w:right w:w="240" w:type="dxa"/>
            </w:tcMar>
            <w:vAlign w:val="center"/>
          </w:tcPr>
          <w:p w14:paraId="34617DE9">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三维建模工程师</w:t>
            </w:r>
          </w:p>
        </w:tc>
        <w:tc>
          <w:tcPr>
            <w:tcW w:w="2915" w:type="dxa"/>
            <w:shd w:val="clear" w:color="auto" w:fill="FFFFFF"/>
            <w:tcMar>
              <w:top w:w="150" w:type="dxa"/>
              <w:left w:w="240" w:type="dxa"/>
              <w:bottom w:w="150" w:type="dxa"/>
              <w:right w:w="0" w:type="dxa"/>
            </w:tcMar>
            <w:vAlign w:val="center"/>
          </w:tcPr>
          <w:p w14:paraId="1A4541A1">
            <w:pPr>
              <w:keepNext w:val="0"/>
              <w:keepLines w:val="0"/>
              <w:widowControl/>
              <w:suppressLineNumbers w:val="0"/>
              <w:jc w:val="left"/>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数据质量控制、坐标系规范、数据完整性评估体系编写</w:t>
            </w:r>
          </w:p>
        </w:tc>
      </w:tr>
      <w:tr w14:paraId="0F49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284" w:type="dxa"/>
            <w:shd w:val="clear" w:color="auto" w:fill="FFFFFF"/>
            <w:tcMar>
              <w:top w:w="150" w:type="dxa"/>
              <w:left w:w="0" w:type="dxa"/>
              <w:bottom w:w="150" w:type="dxa"/>
              <w:right w:w="240" w:type="dxa"/>
            </w:tcMar>
            <w:vAlign w:val="center"/>
          </w:tcPr>
          <w:p w14:paraId="0D4A161F">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李华飙</w:t>
            </w:r>
          </w:p>
        </w:tc>
        <w:tc>
          <w:tcPr>
            <w:tcW w:w="1809" w:type="dxa"/>
            <w:shd w:val="clear" w:color="auto" w:fill="FFFFFF"/>
            <w:tcMar>
              <w:top w:w="150" w:type="dxa"/>
              <w:left w:w="240" w:type="dxa"/>
              <w:bottom w:w="150" w:type="dxa"/>
              <w:right w:w="240" w:type="dxa"/>
            </w:tcMar>
            <w:vAlign w:val="center"/>
          </w:tcPr>
          <w:p w14:paraId="0E1B88B4">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中国国家博物馆</w:t>
            </w:r>
          </w:p>
        </w:tc>
        <w:tc>
          <w:tcPr>
            <w:tcW w:w="2538" w:type="dxa"/>
            <w:shd w:val="clear" w:color="auto" w:fill="FFFFFF"/>
            <w:tcMar>
              <w:top w:w="150" w:type="dxa"/>
              <w:left w:w="240" w:type="dxa"/>
              <w:bottom w:w="150" w:type="dxa"/>
              <w:right w:w="240" w:type="dxa"/>
            </w:tcMar>
            <w:vAlign w:val="center"/>
          </w:tcPr>
          <w:p w14:paraId="47DEF3E4">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正研究员/处长</w:t>
            </w:r>
          </w:p>
        </w:tc>
        <w:tc>
          <w:tcPr>
            <w:tcW w:w="2915" w:type="dxa"/>
            <w:shd w:val="clear" w:color="auto" w:fill="FFFFFF"/>
            <w:tcMar>
              <w:top w:w="150" w:type="dxa"/>
              <w:left w:w="240" w:type="dxa"/>
              <w:bottom w:w="150" w:type="dxa"/>
              <w:right w:w="0" w:type="dxa"/>
            </w:tcMar>
            <w:vAlign w:val="center"/>
          </w:tcPr>
          <w:p w14:paraId="27D4E33E">
            <w:pPr>
              <w:keepNext w:val="0"/>
              <w:keepLines w:val="0"/>
              <w:widowControl/>
              <w:suppressLineNumbers w:val="0"/>
              <w:jc w:val="left"/>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跨文博单位协调、与文物通用元数据标准协同性校核、政策合规审查</w:t>
            </w:r>
          </w:p>
        </w:tc>
      </w:tr>
      <w:tr w14:paraId="16A5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284" w:type="dxa"/>
            <w:shd w:val="clear" w:color="auto" w:fill="FFFFFF"/>
            <w:tcMar>
              <w:top w:w="150" w:type="dxa"/>
              <w:left w:w="0" w:type="dxa"/>
              <w:bottom w:w="150" w:type="dxa"/>
              <w:right w:w="240" w:type="dxa"/>
            </w:tcMar>
            <w:vAlign w:val="center"/>
          </w:tcPr>
          <w:p w14:paraId="474592F1">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刘芳</w:t>
            </w:r>
          </w:p>
        </w:tc>
        <w:tc>
          <w:tcPr>
            <w:tcW w:w="1809" w:type="dxa"/>
            <w:shd w:val="clear" w:color="auto" w:fill="FFFFFF"/>
            <w:tcMar>
              <w:top w:w="150" w:type="dxa"/>
              <w:left w:w="240" w:type="dxa"/>
              <w:bottom w:w="150" w:type="dxa"/>
              <w:right w:w="240" w:type="dxa"/>
            </w:tcMar>
            <w:vAlign w:val="center"/>
          </w:tcPr>
          <w:p w14:paraId="33BBEB12">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湖南大学设计艺术学院</w:t>
            </w:r>
          </w:p>
        </w:tc>
        <w:tc>
          <w:tcPr>
            <w:tcW w:w="2538" w:type="dxa"/>
            <w:shd w:val="clear" w:color="auto" w:fill="FFFFFF"/>
            <w:tcMar>
              <w:top w:w="150" w:type="dxa"/>
              <w:left w:w="240" w:type="dxa"/>
              <w:bottom w:w="150" w:type="dxa"/>
              <w:right w:w="240" w:type="dxa"/>
            </w:tcMar>
            <w:vAlign w:val="center"/>
          </w:tcPr>
          <w:p w14:paraId="6AB7F1D5">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教授/重点实验室副主任</w:t>
            </w:r>
          </w:p>
        </w:tc>
        <w:tc>
          <w:tcPr>
            <w:tcW w:w="2915" w:type="dxa"/>
            <w:shd w:val="clear" w:color="auto" w:fill="FFFFFF"/>
            <w:tcMar>
              <w:top w:w="150" w:type="dxa"/>
              <w:left w:w="240" w:type="dxa"/>
              <w:bottom w:w="150" w:type="dxa"/>
              <w:right w:w="0" w:type="dxa"/>
            </w:tcMar>
            <w:vAlign w:val="center"/>
          </w:tcPr>
          <w:p w14:paraId="42724719">
            <w:pPr>
              <w:keepNext w:val="0"/>
              <w:keepLines w:val="0"/>
              <w:widowControl/>
              <w:suppressLineNumbers w:val="0"/>
              <w:jc w:val="left"/>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标准与CDM元数据模型对接、数据标注元数据兼容设计、文本规范性审核</w:t>
            </w:r>
          </w:p>
        </w:tc>
      </w:tr>
      <w:tr w14:paraId="79D9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284" w:type="dxa"/>
            <w:shd w:val="clear" w:color="auto" w:fill="FFFFFF"/>
            <w:tcMar>
              <w:top w:w="150" w:type="dxa"/>
              <w:left w:w="0" w:type="dxa"/>
              <w:bottom w:w="150" w:type="dxa"/>
              <w:right w:w="240" w:type="dxa"/>
            </w:tcMar>
            <w:vAlign w:val="center"/>
          </w:tcPr>
          <w:p w14:paraId="4D9F5DD5">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吴志群</w:t>
            </w:r>
          </w:p>
        </w:tc>
        <w:tc>
          <w:tcPr>
            <w:tcW w:w="1809" w:type="dxa"/>
            <w:shd w:val="clear" w:color="auto" w:fill="FFFFFF"/>
            <w:tcMar>
              <w:top w:w="150" w:type="dxa"/>
              <w:left w:w="240" w:type="dxa"/>
              <w:bottom w:w="150" w:type="dxa"/>
              <w:right w:w="240" w:type="dxa"/>
            </w:tcMar>
            <w:vAlign w:val="center"/>
          </w:tcPr>
          <w:p w14:paraId="0DC0525A">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hint="eastAsia" w:ascii="宋体" w:hAnsi="宋体" w:eastAsia="宋体" w:cs="宋体"/>
                <w:kern w:val="0"/>
                <w:sz w:val="24"/>
                <w:szCs w:val="24"/>
                <w:lang w:val="en-US" w:eastAsia="zh-CN" w:bidi="ar"/>
              </w:rPr>
              <w:t>中国文物交流中心</w:t>
            </w:r>
          </w:p>
        </w:tc>
        <w:tc>
          <w:tcPr>
            <w:tcW w:w="2538" w:type="dxa"/>
            <w:shd w:val="clear" w:color="auto" w:fill="FFFFFF"/>
            <w:tcMar>
              <w:top w:w="150" w:type="dxa"/>
              <w:left w:w="240" w:type="dxa"/>
              <w:bottom w:w="150" w:type="dxa"/>
              <w:right w:w="240" w:type="dxa"/>
            </w:tcMar>
            <w:vAlign w:val="center"/>
          </w:tcPr>
          <w:p w14:paraId="37A63AAE">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hint="eastAsia" w:ascii="宋体" w:hAnsi="宋体" w:eastAsia="宋体" w:cs="宋体"/>
                <w:kern w:val="0"/>
                <w:sz w:val="24"/>
                <w:szCs w:val="24"/>
                <w:lang w:val="en-US" w:eastAsia="zh-CN" w:bidi="ar"/>
              </w:rPr>
              <w:t>高级工程师</w:t>
            </w:r>
          </w:p>
        </w:tc>
        <w:tc>
          <w:tcPr>
            <w:tcW w:w="2915" w:type="dxa"/>
            <w:shd w:val="clear" w:color="auto" w:fill="FFFFFF"/>
            <w:tcMar>
              <w:top w:w="150" w:type="dxa"/>
              <w:left w:w="240" w:type="dxa"/>
              <w:bottom w:w="150" w:type="dxa"/>
              <w:right w:w="0" w:type="dxa"/>
            </w:tcMar>
            <w:vAlign w:val="center"/>
          </w:tcPr>
          <w:p w14:paraId="7D0853E7">
            <w:pPr>
              <w:keepNext w:val="0"/>
              <w:keepLines w:val="0"/>
              <w:widowControl/>
              <w:suppressLineNumbers w:val="0"/>
              <w:jc w:val="left"/>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摄影测量、结构光采集技术条款、三维模型应用场景内容编制</w:t>
            </w:r>
          </w:p>
        </w:tc>
      </w:tr>
      <w:tr w14:paraId="6D70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284" w:type="dxa"/>
            <w:shd w:val="clear" w:color="auto" w:fill="FFFFFF"/>
            <w:tcMar>
              <w:top w:w="150" w:type="dxa"/>
              <w:left w:w="0" w:type="dxa"/>
              <w:bottom w:w="150" w:type="dxa"/>
              <w:right w:w="240" w:type="dxa"/>
            </w:tcMar>
            <w:vAlign w:val="center"/>
          </w:tcPr>
          <w:p w14:paraId="1241CE72">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刁常宇</w:t>
            </w:r>
          </w:p>
        </w:tc>
        <w:tc>
          <w:tcPr>
            <w:tcW w:w="1809" w:type="dxa"/>
            <w:shd w:val="clear" w:color="auto" w:fill="FFFFFF"/>
            <w:tcMar>
              <w:top w:w="150" w:type="dxa"/>
              <w:left w:w="240" w:type="dxa"/>
              <w:bottom w:w="150" w:type="dxa"/>
              <w:right w:w="240" w:type="dxa"/>
            </w:tcMar>
            <w:vAlign w:val="center"/>
          </w:tcPr>
          <w:p w14:paraId="6690139D">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hint="eastAsia" w:ascii="宋体" w:hAnsi="宋体" w:eastAsia="宋体" w:cs="宋体"/>
                <w:kern w:val="0"/>
                <w:sz w:val="24"/>
                <w:szCs w:val="24"/>
                <w:lang w:val="en-US" w:eastAsia="zh-CN" w:bidi="ar"/>
              </w:rPr>
              <w:t>浙江大学</w:t>
            </w:r>
          </w:p>
        </w:tc>
        <w:tc>
          <w:tcPr>
            <w:tcW w:w="2538" w:type="dxa"/>
            <w:shd w:val="clear" w:color="auto" w:fill="FFFFFF"/>
            <w:tcMar>
              <w:top w:w="150" w:type="dxa"/>
              <w:left w:w="240" w:type="dxa"/>
              <w:bottom w:w="150" w:type="dxa"/>
              <w:right w:w="240" w:type="dxa"/>
            </w:tcMar>
            <w:vAlign w:val="center"/>
          </w:tcPr>
          <w:p w14:paraId="1578556F">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教授</w:t>
            </w:r>
          </w:p>
        </w:tc>
        <w:tc>
          <w:tcPr>
            <w:tcW w:w="2915" w:type="dxa"/>
            <w:shd w:val="clear" w:color="auto" w:fill="FFFFFF"/>
            <w:tcMar>
              <w:top w:w="150" w:type="dxa"/>
              <w:left w:w="240" w:type="dxa"/>
              <w:bottom w:w="150" w:type="dxa"/>
              <w:right w:w="0" w:type="dxa"/>
            </w:tcMar>
            <w:vAlign w:val="center"/>
          </w:tcPr>
          <w:p w14:paraId="3E26EA22">
            <w:pPr>
              <w:keepNext w:val="0"/>
              <w:keepLines w:val="0"/>
              <w:widowControl/>
              <w:suppressLineNumbers w:val="0"/>
              <w:jc w:val="left"/>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点云、网格模型技术指标、数据精度分级试验验证、质量评估体系设计</w:t>
            </w:r>
          </w:p>
        </w:tc>
      </w:tr>
      <w:tr w14:paraId="3F0A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284" w:type="dxa"/>
            <w:shd w:val="clear" w:color="auto" w:fill="FFFFFF"/>
            <w:tcMar>
              <w:top w:w="150" w:type="dxa"/>
              <w:left w:w="0" w:type="dxa"/>
              <w:bottom w:w="150" w:type="dxa"/>
              <w:right w:w="240" w:type="dxa"/>
            </w:tcMar>
            <w:vAlign w:val="center"/>
          </w:tcPr>
          <w:p w14:paraId="410DC7EA">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黄先锋</w:t>
            </w:r>
          </w:p>
        </w:tc>
        <w:tc>
          <w:tcPr>
            <w:tcW w:w="1809" w:type="dxa"/>
            <w:shd w:val="clear" w:color="auto" w:fill="FFFFFF"/>
            <w:tcMar>
              <w:top w:w="150" w:type="dxa"/>
              <w:left w:w="240" w:type="dxa"/>
              <w:bottom w:w="150" w:type="dxa"/>
              <w:right w:w="240" w:type="dxa"/>
            </w:tcMar>
            <w:vAlign w:val="center"/>
          </w:tcPr>
          <w:p w14:paraId="3DC5F341">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武汉大学</w:t>
            </w:r>
          </w:p>
        </w:tc>
        <w:tc>
          <w:tcPr>
            <w:tcW w:w="2538" w:type="dxa"/>
            <w:shd w:val="clear" w:color="auto" w:fill="FFFFFF"/>
            <w:tcMar>
              <w:top w:w="150" w:type="dxa"/>
              <w:left w:w="240" w:type="dxa"/>
              <w:bottom w:w="150" w:type="dxa"/>
              <w:right w:w="240" w:type="dxa"/>
            </w:tcMar>
            <w:vAlign w:val="center"/>
          </w:tcPr>
          <w:p w14:paraId="5AFB061A">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hint="eastAsia" w:ascii="宋体" w:hAnsi="宋体" w:eastAsia="宋体" w:cs="宋体"/>
                <w:kern w:val="0"/>
                <w:sz w:val="24"/>
                <w:szCs w:val="24"/>
                <w:lang w:val="en-US" w:eastAsia="zh-CN" w:bidi="ar"/>
              </w:rPr>
              <w:t>教授</w:t>
            </w:r>
          </w:p>
        </w:tc>
        <w:tc>
          <w:tcPr>
            <w:tcW w:w="2915" w:type="dxa"/>
            <w:shd w:val="clear" w:color="auto" w:fill="FFFFFF"/>
            <w:tcMar>
              <w:top w:w="150" w:type="dxa"/>
              <w:left w:w="240" w:type="dxa"/>
              <w:bottom w:w="150" w:type="dxa"/>
              <w:right w:w="0" w:type="dxa"/>
            </w:tcMar>
            <w:vAlign w:val="center"/>
          </w:tcPr>
          <w:p w14:paraId="56AE4492">
            <w:pPr>
              <w:keepNext w:val="0"/>
              <w:keepLines w:val="0"/>
              <w:widowControl/>
              <w:suppressLineNumbers w:val="0"/>
              <w:jc w:val="left"/>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石窟空间测绘规范、多源三维数据融合技术要求撰写</w:t>
            </w:r>
          </w:p>
        </w:tc>
      </w:tr>
      <w:tr w14:paraId="369F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284" w:type="dxa"/>
            <w:shd w:val="clear" w:color="auto" w:fill="FFFFFF"/>
            <w:tcMar>
              <w:top w:w="150" w:type="dxa"/>
              <w:left w:w="0" w:type="dxa"/>
              <w:bottom w:w="150" w:type="dxa"/>
              <w:right w:w="240" w:type="dxa"/>
            </w:tcMar>
            <w:vAlign w:val="center"/>
          </w:tcPr>
          <w:p w14:paraId="5617DC9E">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左霞</w:t>
            </w:r>
          </w:p>
        </w:tc>
        <w:tc>
          <w:tcPr>
            <w:tcW w:w="1809" w:type="dxa"/>
            <w:shd w:val="clear" w:color="auto" w:fill="FFFFFF"/>
            <w:tcMar>
              <w:top w:w="150" w:type="dxa"/>
              <w:left w:w="240" w:type="dxa"/>
              <w:bottom w:w="150" w:type="dxa"/>
              <w:right w:w="240" w:type="dxa"/>
            </w:tcMar>
            <w:vAlign w:val="center"/>
          </w:tcPr>
          <w:p w14:paraId="2C3B80BD">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hint="eastAsia" w:ascii="宋体" w:hAnsi="宋体" w:eastAsia="宋体" w:cs="宋体"/>
                <w:kern w:val="0"/>
                <w:sz w:val="24"/>
                <w:szCs w:val="24"/>
                <w:lang w:val="en-US" w:eastAsia="zh-CN" w:bidi="ar"/>
              </w:rPr>
              <w:t>大同煤炭职业技术学院</w:t>
            </w:r>
          </w:p>
        </w:tc>
        <w:tc>
          <w:tcPr>
            <w:tcW w:w="2538" w:type="dxa"/>
            <w:shd w:val="clear" w:color="auto" w:fill="FFFFFF"/>
            <w:tcMar>
              <w:top w:w="150" w:type="dxa"/>
              <w:left w:w="240" w:type="dxa"/>
              <w:bottom w:w="150" w:type="dxa"/>
              <w:right w:w="240" w:type="dxa"/>
            </w:tcMar>
            <w:vAlign w:val="center"/>
          </w:tcPr>
          <w:p w14:paraId="23F6DABC">
            <w:pPr>
              <w:keepNext w:val="0"/>
              <w:keepLines w:val="0"/>
              <w:widowControl/>
              <w:suppressLineNumbers w:val="0"/>
              <w:jc w:val="center"/>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高级工程师</w:t>
            </w:r>
          </w:p>
        </w:tc>
        <w:tc>
          <w:tcPr>
            <w:tcW w:w="2915" w:type="dxa"/>
            <w:shd w:val="clear" w:color="auto" w:fill="FFFFFF"/>
            <w:tcMar>
              <w:top w:w="150" w:type="dxa"/>
              <w:left w:w="240" w:type="dxa"/>
              <w:bottom w:w="150" w:type="dxa"/>
              <w:right w:w="0" w:type="dxa"/>
            </w:tcMar>
            <w:vAlign w:val="center"/>
          </w:tcPr>
          <w:p w14:paraId="6045DEC2">
            <w:pPr>
              <w:keepNext w:val="0"/>
              <w:keepLines w:val="0"/>
              <w:widowControl/>
              <w:suppressLineNumbers w:val="0"/>
              <w:jc w:val="left"/>
              <w:rPr>
                <w:rFonts w:hint="default" w:ascii="Segoe UI" w:hAnsi="Segoe UI" w:eastAsia="Segoe UI" w:cs="Segoe UI"/>
                <w:i w:val="0"/>
                <w:iCs w:val="0"/>
                <w:caps w:val="0"/>
                <w:color w:val="0F1115"/>
                <w:spacing w:val="0"/>
                <w:sz w:val="22"/>
                <w:szCs w:val="22"/>
              </w:rPr>
            </w:pPr>
            <w:r>
              <w:rPr>
                <w:rFonts w:ascii="宋体" w:hAnsi="宋体" w:eastAsia="宋体" w:cs="宋体"/>
                <w:kern w:val="0"/>
                <w:sz w:val="24"/>
                <w:szCs w:val="24"/>
                <w:lang w:val="en-US" w:eastAsia="zh-CN" w:bidi="ar"/>
              </w:rPr>
              <w:t>数据安全分级、敏感数据管理、法律法规合规性校验</w:t>
            </w:r>
          </w:p>
        </w:tc>
      </w:tr>
    </w:tbl>
    <w:p w14:paraId="696E1C45">
      <w:pPr>
        <w:ind w:firstLine="480" w:firstLineChars="200"/>
        <w:rPr>
          <w:rFonts w:hint="eastAsia" w:ascii="宋体" w:hAnsi="宋体" w:eastAsia="宋体" w:cs="宋体"/>
          <w:sz w:val="24"/>
          <w:szCs w:val="24"/>
        </w:rPr>
      </w:pPr>
    </w:p>
    <w:p w14:paraId="2CDEFAB3">
      <w:pPr>
        <w:ind w:firstLine="480" w:firstLineChars="200"/>
        <w:rPr>
          <w:rFonts w:hint="eastAsia" w:ascii="宋体" w:hAnsi="宋体" w:eastAsia="宋体" w:cs="宋体"/>
          <w:sz w:val="24"/>
          <w:szCs w:val="24"/>
        </w:rPr>
      </w:pPr>
    </w:p>
    <w:p w14:paraId="0F71D441">
      <w:pPr>
        <w:ind w:firstLine="480" w:firstLineChars="200"/>
        <w:rPr>
          <w:rFonts w:hint="eastAsia" w:ascii="宋体" w:hAnsi="宋体" w:eastAsia="宋体" w:cs="宋体"/>
          <w:sz w:val="24"/>
          <w:szCs w:val="24"/>
        </w:rPr>
      </w:pPr>
    </w:p>
    <w:p w14:paraId="54637F5A">
      <w:pPr>
        <w:pStyle w:val="3"/>
        <w:keepNext w:val="0"/>
        <w:keepLines w:val="0"/>
        <w:widowControl/>
        <w:suppressLineNumbers w:val="0"/>
      </w:pPr>
      <w:r>
        <w:t>二、标准编制原则和确定主要内容的论据及解决的主要问题</w:t>
      </w:r>
    </w:p>
    <w:p w14:paraId="12715923">
      <w:pPr>
        <w:pStyle w:val="4"/>
        <w:keepNext w:val="0"/>
        <w:keepLines w:val="0"/>
        <w:widowControl/>
        <w:suppressLineNumbers w:val="0"/>
      </w:pPr>
      <w:r>
        <w:t>（一）标准编制原则</w:t>
      </w:r>
    </w:p>
    <w:p w14:paraId="045CC153">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1、严格遵循标准化工作导则要求原则</w:t>
      </w:r>
    </w:p>
    <w:p w14:paraId="50EC935B">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在《征求意见稿》编制过程中，严格遵循“统一性、协调性、适用性、一致性、规范性”的原则，按照GB/T 1.1—2020《标准化工作导则 第1部分：标准化文件的结构和起草规则》的要求进行编写。</w:t>
      </w:r>
    </w:p>
    <w:p w14:paraId="4D13B092">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2、严格符合有关法律法规原则</w:t>
      </w:r>
    </w:p>
    <w:p w14:paraId="5115BB02">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征求意见稿》内容严格符合国家有关法律法规、国务院发布条例、国家部委与地方政府发布规章的要求，包括但不限于《中华人民共和国文物保护法》《中华人民共和国文物保护法实施条例》《中华人民共和国文物保护法实施细则》等。</w:t>
      </w:r>
    </w:p>
    <w:p w14:paraId="2C5FFD32">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3、严格和相关国标、行标保持一致原则</w:t>
      </w:r>
    </w:p>
    <w:p w14:paraId="7EF8D527">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在《征求意见稿》编制过程中，严格和相关国家标准、行业标准保持一致，特别是和GB/T 30544.1—2014《文物保护技术术语》、GB/T 30235—2013《文物保护单位数字化保护规范》、GB/T 18894—2016《电子文件归档与电子档案管理规范》、WW/T 0117—2023《石窟寺三维数字化采集与加工》等标准保持一致。</w:t>
      </w:r>
    </w:p>
    <w:p w14:paraId="3721E13F">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4、严格符合标准其他原则</w:t>
      </w:r>
    </w:p>
    <w:p w14:paraId="6F28E889">
      <w:pPr>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在《征求意见稿》编制过程中，严格遵循科学性、先进性、经济性、切实可行等标准制定原则。</w:t>
      </w:r>
    </w:p>
    <w:p w14:paraId="41FC205B">
      <w:pPr>
        <w:pStyle w:val="4"/>
        <w:keepNext w:val="0"/>
        <w:keepLines w:val="0"/>
        <w:widowControl/>
        <w:suppressLineNumbers w:val="0"/>
      </w:pPr>
      <w:r>
        <w:t>（二）主要内容及其确定依据</w:t>
      </w:r>
    </w:p>
    <w:p w14:paraId="4AD802F2">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标准共分八章，涉及石窟寺类文物三维数据体系建设的五个核心内容：范围、规范性引用文件、术语和定义、三维数据分类、三维数据分级、三维数据标注、数据存储与管理、数据质量控制。以下逐条说明标准中各部分的确定依据：</w:t>
      </w:r>
    </w:p>
    <w:p w14:paraId="01547A31">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 ICS/CCS</w:t>
      </w:r>
    </w:p>
    <w:p w14:paraId="3781B30F">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本标准归属ICS 35.240.30（信息技术应用/多媒体应用）及CCS L70（文化、体育）。</w:t>
      </w:r>
    </w:p>
    <w:p w14:paraId="1CA3BD69">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理论依据：按照国家标准化管理委员会发布的《ICS国际标准分类》和《中国标准分类（CCS）》，石窟寺类文物三维数据相关标准属于信息技术应用中的多媒体应用领域，且主要面向文化领域，涉及文物保护、文化资源数字化管理、信息交换等内容，符合该分类。</w:t>
      </w:r>
    </w:p>
    <w:p w14:paraId="56FDFE3F">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 标题（中文）</w:t>
      </w:r>
    </w:p>
    <w:p w14:paraId="12204FFC">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本标准中文标题为《石窟寺类文物三维数据体系建设规范》。</w:t>
      </w:r>
    </w:p>
    <w:p w14:paraId="5619527D">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理论依据：根据GB/T 1.1—2020《标准化工作导则 第1部分》的标准命名规则，标题应体现标准的对象、作用和形式；本标准名称准确反映了标准所规范的对象（石窟寺类文物三维数据体系）和性质（建设规范），符合行业习惯，能够恰当表达标准规定的范围。</w:t>
      </w:r>
    </w:p>
    <w:p w14:paraId="3982A6F2">
      <w:pPr>
        <w:ind w:firstLine="480" w:firstLineChars="200"/>
        <w:rPr>
          <w:rFonts w:hint="eastAsia" w:ascii="宋体" w:hAnsi="宋体" w:eastAsia="宋体" w:cs="宋体"/>
          <w:sz w:val="24"/>
          <w:szCs w:val="24"/>
          <w:lang w:val="en-US" w:eastAsia="zh-CN"/>
        </w:rPr>
      </w:pPr>
    </w:p>
    <w:p w14:paraId="469B86DA">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 标题（英文）</w:t>
      </w:r>
    </w:p>
    <w:p w14:paraId="07C5FE8A">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本标准英文标题为“Construction specification for 3D data system of grotto temple cultural relics”，系对上述中文标题的规范翻译。</w:t>
      </w:r>
    </w:p>
    <w:p w14:paraId="7686F671">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 范围</w:t>
      </w:r>
    </w:p>
    <w:p w14:paraId="17A600A8">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文件规定了石窟寺类文物三维数据在采集、处理、存储、管理及应用全流程中的技术要求、操作规范和质量标准。适用于各级文物保护单位中的石窟寺，以及用于学术研究、文化展示等目的的石窟寺三维数据项目。</w:t>
      </w:r>
    </w:p>
    <w:p w14:paraId="4F32626E">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理论依据：响应《国务院办公厅关于加强石窟寺保护利用工作的指导意见》和《“十四五”石窟寺保护利用专项规划》提出的“加强石窟寺数字化保护利用”“加快制定石窟寺数据采集、加工、存储、管理等方面的标准规范”等政策要求。</w:t>
      </w:r>
    </w:p>
    <w:p w14:paraId="56E9CAB4">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技术依据：通过构建统一规范的石窟寺三维数据体系，对石窟寺类文物三维数据的采集、处理、存储、管理及应用实施标准化规范，保障数据的准确性、完整性与可用性。</w:t>
      </w:r>
    </w:p>
    <w:p w14:paraId="588D2289">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实践依据：通过对云冈石窟等石窟寺的三维数据组织与管理需求的分析，确定该标准的适用范围，确保其能够促进石窟寺文物数字化保护工作的规范开展。</w:t>
      </w:r>
    </w:p>
    <w:p w14:paraId="72FC3B8A">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 规范性引用文件</w:t>
      </w:r>
    </w:p>
    <w:p w14:paraId="5F07BF9B">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本标准在规范性引用文件部分引用了GB/T 30544.1—2014《文物保护技术术语》、GB/T 30235—2013《文物保护单位数字化保护规范》、GB/T 18894—2016《电子文件归档与电子档案管理规范》等国家标准。</w:t>
      </w:r>
    </w:p>
    <w:p w14:paraId="3D530489">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理论依据：石窟寺类文物三维数据体系建设规范规定了三维数据分类、分级、标注、存储管理及质量控制等内容，适用于石窟寺类文物三维数据的全流程管理。因此，相关引用文件涵盖文物保护技术术语、数字化保护规范、电子档案管理等领域，构成了标准制定的基础技术框架，符合本标准的需求。</w:t>
      </w:r>
    </w:p>
    <w:p w14:paraId="0DA5AA3E">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 术语和定义</w:t>
      </w:r>
    </w:p>
    <w:p w14:paraId="747FF9BE">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本章给出了三维数据、点云数据、网格模型、纹理数据、数据精度、数据完整性、数据分辨率、数据坐标系等8个术语及其定义，这些术语是征求意见稿正文中至少出现过2次的关键性技术术语。</w:t>
      </w:r>
    </w:p>
    <w:p w14:paraId="24D85B49">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理论和技术依据：根据石窟寺类文物三维数据体系建设的关键概念进行提炼，确保标准条文应用时理解一致。本标准所定义的术语来源于现行的标准文件及行业代表性项目资料，具有行业通用性。</w:t>
      </w:r>
    </w:p>
    <w:p w14:paraId="7C58E59B">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 各章节技术要素</w:t>
      </w:r>
    </w:p>
    <w:p w14:paraId="2426FCEB">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（1）本标准“第4章 三维数据分类”中对石窟寺类文物三维数据按照数据来源和数据内容两个维度进行了分类。按数据来源分为激光扫描数据、摄影测量数据及其他数据；按数据内容分为石窟整体空间数据、洞窟内部结构数据、造像三维数据及纹理数据。</w:t>
      </w:r>
    </w:p>
    <w:p w14:paraId="7084DCB0">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理论依据：参考行业相关标准中数据分类的方法，结合石窟寺类文物的特征进行数据分类。</w:t>
      </w:r>
    </w:p>
    <w:p w14:paraId="0A8EF859">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技术依据：根据石窟寺类文物三维数据的特征，从来源和内容两个维度进行分类，确保分类体系能覆盖不同类型石窟寺三维数据的管理和交换需求。</w:t>
      </w:r>
    </w:p>
    <w:p w14:paraId="21747470">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实践依据：通过对云冈石窟等单位的数据管理需求分析，提出了适应性强、可扩展的三维数据分类体系。</w:t>
      </w:r>
    </w:p>
    <w:p w14:paraId="17D53116">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（2）本标准“第5章 三维数据分级”中从精度和完整性两个维度对石窟寺类文物三维数据进行分级。精度方面分为高精度、中精度、较低精度、低精度四个等级；完整性方面分为完整数据、较完整数据、部分数据三个等级。</w:t>
      </w:r>
    </w:p>
    <w:p w14:paraId="157EE04B">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理论依据：参考行业相关标准中对数据精度和完整性的分级方法。</w:t>
      </w:r>
    </w:p>
    <w:p w14:paraId="6BD7B14F">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技术依据：根据石窟寺类文物三维数据在不同应用场景（如档案级存档、学术研究、文旅融合、公众服务等）中的差异化需求，设定相应的精度和完整性等级。</w:t>
      </w:r>
    </w:p>
    <w:p w14:paraId="3863D1D8">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实践依据：课题组收集云冈石窟等单位的三维数据对该分级体系进行了实际验证，确保其可用性和应用效果。</w:t>
      </w:r>
    </w:p>
    <w:p w14:paraId="76EA0D6E">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（3）本标准“第6章 三维数据标注”中提出了三维数据标注的通用原则（准确性、唯一性、可扩展性）和标注内容（空间位置标注、对象属性标注、病害标注、注释与说明标注），以及标注方式（文本标注、图形标注、元数据标注）。</w:t>
      </w:r>
    </w:p>
    <w:p w14:paraId="793EAE25">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理论依据：参考文物数字化保护领域相关标准对数据标注的要求。</w:t>
      </w:r>
    </w:p>
    <w:p w14:paraId="3A5F0448">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技术依据：为石窟寺类文物三维数据定义了详细的标注体系，确保数据在管理、研究、共享与开发利用过程中能够被准确识别和有效利用。</w:t>
      </w:r>
    </w:p>
    <w:p w14:paraId="493BD6E2">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实践依据：课题组结合云冈石窟等单位的实际数据管理需求，对标注体系进行了实际验证。</w:t>
      </w:r>
    </w:p>
    <w:p w14:paraId="2A9D2851">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（4）本标准“第7章 数据存储与管理”中规定了存储格式要求（点云数据宜采用LAS、E57等格式，网格模型宜采用OBJ、PLY等格式，纹理数据宜采用JPEG、PNG等格式）、数据备份与恢复机制以及数据访问权限管理要求。</w:t>
      </w:r>
    </w:p>
    <w:p w14:paraId="45262DF9">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理论依据：参考GB/T 18894—2016《电子文件归档与电子档案管理规范》对电子文件存储与管理的要求。</w:t>
      </w:r>
    </w:p>
    <w:p w14:paraId="55F3C857">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技术依据：确保三维数据在不同软件和平台间可便捷传输、共享和使用，保障数据安全与可用性。</w:t>
      </w:r>
    </w:p>
    <w:p w14:paraId="05DEB44C">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（5）本标准“第8章 数据质量控制”中规定了采集过程质量控制和数据处理质量控制的要求。</w:t>
      </w:r>
    </w:p>
    <w:p w14:paraId="450964F6">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理论依据：参考行业相关标准对数据质量控制的要求，确保石窟寺类文物三维数据在全流程中的质量可控。</w:t>
      </w:r>
    </w:p>
    <w:p w14:paraId="6881EA1C">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技术依据：从采集和處理两个关键环节对数据质量进行控制，确保最终成果数据的准确性、完整性和可用性。</w:t>
      </w:r>
    </w:p>
    <w:p w14:paraId="6F9FB284">
      <w:pPr>
        <w:pStyle w:val="3"/>
        <w:keepNext w:val="0"/>
        <w:keepLines w:val="0"/>
        <w:widowControl/>
        <w:suppressLineNumbers w:val="0"/>
      </w:pPr>
      <w:r>
        <w:t>三、主要试验[或验证]情况分析</w:t>
      </w:r>
    </w:p>
    <w:p w14:paraId="58A4D23B">
      <w:pPr>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本标准编制前期从多维度开展研究工作。在实地考察方面，主要采用线上线下相结合的调研方法：线上调研覆盖多个石窟寺数字化项目或平台，系统梳理并总结其技术与应用特点；线下实地走访云冈石窟、龙门石窟等多家石窟寺文物保护单位，深入调研其三维数据采集、处理、存储、管理及应用的技术应用情况。在文件调研方面，主要参考了石窟寺数字化相关标准，例如行业标准WW/T 0117—2023《石窟寺三维数字化采集与加工》，以及石窟寺文物三维数字化领域现行相关标准。通过结合实地业务考察和相关文件研究，确保制订标准符合石窟寺数字化保护业务实际，对推进石窟寺数字化保护工作具有指导意义。在保障文物与数据安全的前提下，合理规范三维数据的采集、处理、存储、管理及应用，推动石窟寺文化遗产的保护与传承。</w:t>
      </w:r>
    </w:p>
    <w:p w14:paraId="3E84469C">
      <w:pPr>
        <w:pStyle w:val="3"/>
        <w:keepNext w:val="0"/>
        <w:keepLines w:val="0"/>
        <w:widowControl/>
        <w:suppressLineNumbers w:val="0"/>
      </w:pPr>
      <w:r>
        <w:t>四、知识产权情况说明</w:t>
      </w:r>
    </w:p>
    <w:p w14:paraId="57CE3BB6">
      <w:pPr>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无</w:t>
      </w:r>
    </w:p>
    <w:p w14:paraId="29F18008">
      <w:pPr>
        <w:pStyle w:val="3"/>
        <w:keepNext w:val="0"/>
        <w:keepLines w:val="0"/>
        <w:widowControl/>
        <w:suppressLineNumbers w:val="0"/>
      </w:pPr>
      <w:r>
        <w:t>五、产业化情况、推广应用论证和预期达到的经济、社会效益</w:t>
      </w:r>
    </w:p>
    <w:p w14:paraId="2687A051">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标准的实施能够规范石窟寺类文物三维数据在采集、处理、存储、管理及应用全流程中的技术要求、操作规范和质量标准。通过构建统一规范的石窟寺三维数据体系，为石窟寺的数字档案建立、保护、学术研究、文化展示等相关工作奠定坚实可靠的数据基础。各文物收藏单位将能够按照统一标准开展三维数据体系建设工作，实现石窟寺三维数据的规范组织与互操作，为大规模石窟寺数字资源的“物理分散、逻辑关联”打好基础。公众将获得更便捷的石窟寺文化资源接触渠道，从而激发参与热情，推动文化遗产的广泛传播。此外，基于规范数据的深度挖掘与创新应用，有望形成开放协同的生态系统，实现文化价值与经济价值的良性循环，最终助力石窟寺文化遗产产业的可持续发展。</w:t>
      </w:r>
    </w:p>
    <w:p w14:paraId="58F4A0AF">
      <w:pPr>
        <w:pStyle w:val="3"/>
        <w:keepNext w:val="0"/>
        <w:keepLines w:val="0"/>
        <w:widowControl/>
        <w:suppressLineNumbers w:val="0"/>
      </w:pPr>
      <w:r>
        <w:t>六、采用国际标准和国外先进标准情况</w:t>
      </w:r>
    </w:p>
    <w:p w14:paraId="4AB020FF">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与国际、国外同类标准对比情况：目前，国内外石窟寺类文物三维数据体系建设相关标准较少。国际标准方面，ISO 21127:2023《信息与文献 文化遗产信息交换参考本体》主要针对文化遗产领域的数字资源交换，适用于文化遗产的数据管理，然而该标准主要关注信息资源的通用性描述，缺乏针对石窟寺类文物三维数据特征的细化支持。国内标准方面，WW/T 0117—2023《石窟寺三维数字化采集与加工》规范了石窟寺三维数字化采集与加工的技术要求，DB14/T 2873—2023《石窟寺文物近景摄影测量三维数字化采集规程》侧重于摄影测量采集规程。然而，现有标准多侧重于单一环节或单一技术，尚缺乏从三维数据体系建设全局出发，涵盖数据分类、分级、标注、存储管理及质量控制全流程的系统性标准。</w:t>
      </w:r>
    </w:p>
    <w:p w14:paraId="5332ACAA">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标准给出了石窟寺类文物三维数据体系建设规范，规定了三维数据的分类、分级、标注、存储管理及质量控制等要求。标准适用于石窟寺类文物三维数据的全流程管理，基本满足行业主流标准要求，支持多源异构石窟寺三维数据的规范管理与高效汇聚，可实现石窟寺三维数据的一站式整合与展示，具备作为团体标准推广实施的可行性</w:t>
      </w:r>
    </w:p>
    <w:p w14:paraId="09421568">
      <w:pPr>
        <w:pStyle w:val="3"/>
        <w:keepNext w:val="0"/>
        <w:keepLines w:val="0"/>
        <w:widowControl/>
        <w:suppressLineNumbers w:val="0"/>
      </w:pPr>
      <w:r>
        <w:t>七、与现行相关法律、法规、规章及相关标准的协调性</w:t>
      </w:r>
    </w:p>
    <w:p w14:paraId="27979FD5">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（一）遵循有关的现行法律法规和强制性国家标准</w:t>
      </w:r>
    </w:p>
    <w:p w14:paraId="2389AC6F">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中华人民共和国文物保护法》是为加强对文物的保护，继承中华民族优秀的历史文化遗产，促进科学研究工作，进行爱国主义和革命传统教育，建设社会主义精神文明和物质文明而制定的有关文物保护方面的法律。所编写标准的全部内容必须符合《文物保护法》各项条款的规定和要求，不得阻碍《文物保护法》的顺利实施。</w:t>
      </w:r>
    </w:p>
    <w:p w14:paraId="4598525E">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中华人民共和国文物保护法实施条例》是为保障《中华人民共和国文物保护法》有效实施、将文物保护工作落到实处，国务院制定的文物保护工作中具体要求方面的实施条例。所编写标准的全部内容必须符合《文物保护法实施条例》各项条款的规定和要求，不得阻碍《文物保护法实施条例》的顺利实施。</w:t>
      </w:r>
    </w:p>
    <w:p w14:paraId="75CB0E18">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中华人民共和国文物保护法实施细则》是为保障《中华人民共和国文物保护法》有效实施、将文物保护工作落到实处，国家文物局制定的文物保护工作中具体要求方面的实施细则。所编写标准的全部内容必须符合《文物保护法实施细则》各项条款的规定和要求，不得阻碍《文物保护法实施细则》的顺利实施。</w:t>
      </w:r>
    </w:p>
    <w:p w14:paraId="0AF77E97">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国务院办公厅关于加强石窟寺保护利用工作的指导意见》要求“加强石窟寺数字化保护利用”“加快制定石窟寺数据采集、加工、存储、管理等方面的标准规范”。所编写标准的内容与该指导意见的要求保持一致。</w:t>
      </w:r>
    </w:p>
    <w:p w14:paraId="7D08D427">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（二）与基础通用标准、同级和上级标准、系列标准等相关标准协调配套</w:t>
      </w:r>
    </w:p>
    <w:p w14:paraId="7783297F">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征求意见稿》与基础通用标准、同级和上级标准、系列标准等相关标准都应具有协调性，与基础通用标准在术语、功能、指标描述上要做到一致，与同级和上级标准要做到术语、功能、指标描述顺承，与系列标准要做到术语、功能、指标等内容划分明确。在标准体系协调方面，本标准并非孤立制定，而是作为石窟寺文物数字化标准体系的一部分，与同属该体系的《石窟寺三维数字化采集与加工》《石窟寺类文物知识组织表达模型规范》等标准形成互补关系。编写组根据已找到的现行标准对相关性、协调性进行了具体分析，具体如下：</w:t>
      </w:r>
    </w:p>
    <w:p w14:paraId="6652CED7">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1、WW/T 0117—2023《石窟寺三维数字化采集与加工》</w:t>
      </w:r>
    </w:p>
    <w:p w14:paraId="782860F0">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（1）相关性：该标准为行业标准，《征求意见稿》参考了该标准的部分内容。</w:t>
      </w:r>
    </w:p>
    <w:p w14:paraId="3D117B9A">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（2）协调性：《征求意见稿》与该标准之间没有冲突，具有协调性。</w:t>
      </w:r>
    </w:p>
    <w:p w14:paraId="7A8CDD59">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2、DB14/T 2873—2023《石窟寺文物近景摄影测量三维数字化采集规程》</w:t>
      </w:r>
    </w:p>
    <w:p w14:paraId="556E2E6F">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（1）相关性：该标准为区域性标准，《征求意见稿》参考了该标准的部分内容。</w:t>
      </w:r>
    </w:p>
    <w:p w14:paraId="73A3F333">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（2）协调性：《征求意见稿》与该标准之间没有冲突，具有协调性。</w:t>
      </w:r>
    </w:p>
    <w:p w14:paraId="1C472A50">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3、GB/T 30544.1—2014《文物保护技术术语》</w:t>
      </w:r>
    </w:p>
    <w:p w14:paraId="0CF9F56F">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（1）相关性：该标准为国家标准，《征求意见稿》规范性引用文件包含该标准。</w:t>
      </w:r>
    </w:p>
    <w:p w14:paraId="02A34E48">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（2）协调性：《征求意见稿》与该标准之间没有冲突，具有协调性。</w:t>
      </w:r>
    </w:p>
    <w:p w14:paraId="684BD4B6">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4、GB/T 30235—2013《文物保护单位数字化保护规范》</w:t>
      </w:r>
    </w:p>
    <w:p w14:paraId="777D2654">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（1）相关性：该标准为国家标准，《征求意见稿》规范性引用文件包含该标准。</w:t>
      </w:r>
    </w:p>
    <w:p w14:paraId="719AD801">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（2）协调性：《征求意见稿》与该标准之间没有冲突，具有协调性。</w:t>
      </w:r>
    </w:p>
    <w:p w14:paraId="7C79F0F8">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5、GB/T 18894—2016《电子文件归档与电子档案管理规范》</w:t>
      </w:r>
    </w:p>
    <w:p w14:paraId="7B4FECD8">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（1）相关性：该标准为国家标准，《征求意见稿》规范性引用文件包含该标准。</w:t>
      </w:r>
    </w:p>
    <w:p w14:paraId="689B1A7E">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（2）协调性：《征求意见稿》与该标准之间没有冲突，具有协调性。</w:t>
      </w:r>
    </w:p>
    <w:p w14:paraId="3B4FD301">
      <w:pPr>
        <w:pStyle w:val="3"/>
        <w:keepNext w:val="0"/>
        <w:keepLines w:val="0"/>
        <w:widowControl/>
        <w:suppressLineNumbers w:val="0"/>
      </w:pPr>
      <w:r>
        <w:t>八、重大分歧意见的处理经过和依据</w:t>
      </w:r>
    </w:p>
    <w:p w14:paraId="3EBF6A21">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w:t>
      </w:r>
      <w:bookmarkStart w:id="0" w:name="_GoBack"/>
      <w:bookmarkEnd w:id="0"/>
    </w:p>
    <w:p w14:paraId="4205CABB">
      <w:pPr>
        <w:pStyle w:val="3"/>
        <w:keepNext w:val="0"/>
        <w:keepLines w:val="0"/>
        <w:widowControl/>
        <w:suppressLineNumbers w:val="0"/>
      </w:pPr>
      <w:r>
        <w:t>九、贯彻标准的要求和措施建议</w:t>
      </w:r>
    </w:p>
    <w:p w14:paraId="1E4229A9">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贯彻标准的要求和措施建议有：</w:t>
      </w:r>
    </w:p>
    <w:p w14:paraId="32430EA0">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一是建议国家和行业相关主管单位、行政部门大力宣传并严格落实相关工作，促进标准落地实施，建议文物标准化委员会和起草单位联合组织标准宣贯培训。</w:t>
      </w:r>
    </w:p>
    <w:p w14:paraId="37FA19CE">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是建议各类石窟寺保护管理机构、文博单位等发挥行业主体职责，制定并形成相关工作机制流程，促进石窟寺类文物三维数据体系建设工作按标准规范开展，实现石窟寺三维数据的规范组织与互操作，为大规模石窟寺数字资源的“物理分散、逻辑关联”打好基础，促进标准落地应用。</w:t>
      </w:r>
    </w:p>
    <w:p w14:paraId="597FDD44">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是建议石窟寺三维数据体系建设工作的各相关方认真学习和贯彻本标准，以高质量、高效率地推进相关工作。通过采用统一的石窟寺三维数据体系规范，使不同石窟寺的三维数据能够基于该规范进行规范化采集、处理、存储和管理，从而实现石窟寺数字资源的规范管理与共享，进而提升石窟寺文化遗产数字化保护的水平，促进馆际协作与数据整合，支持文化遗产的数字化保护与传播。同时，通过数据挖掘和创新应用，推动文化价值与经济价值的良性循环，助力石窟寺文化遗产产业可持续发展。</w:t>
      </w:r>
    </w:p>
    <w:p w14:paraId="719BB2C6">
      <w:pPr>
        <w:pStyle w:val="3"/>
        <w:keepNext w:val="0"/>
        <w:keepLines w:val="0"/>
        <w:widowControl/>
        <w:suppressLineNumbers w:val="0"/>
      </w:pPr>
      <w:r>
        <w:t>十、替代或废止现行相关联盟标准的建议</w:t>
      </w:r>
    </w:p>
    <w:p w14:paraId="3D56A7D9">
      <w:pPr>
        <w:pStyle w:val="6"/>
        <w:keepNext w:val="0"/>
        <w:keepLines w:val="0"/>
        <w:widowControl/>
        <w:suppressLineNumbers w:val="0"/>
      </w:pPr>
      <w:r>
        <w:t>无</w:t>
      </w:r>
    </w:p>
    <w:p w14:paraId="4FED6C9F">
      <w:pPr>
        <w:pStyle w:val="3"/>
        <w:keepNext w:val="0"/>
        <w:keepLines w:val="0"/>
        <w:widowControl/>
        <w:suppressLineNumbers w:val="0"/>
      </w:pPr>
      <w:r>
        <w:t>十一、其它应予说明的事项</w:t>
      </w:r>
    </w:p>
    <w:p w14:paraId="77782AD5">
      <w:pPr>
        <w:pStyle w:val="6"/>
        <w:keepNext w:val="0"/>
        <w:keepLines w:val="0"/>
        <w:widowControl/>
        <w:suppressLineNumbers w:val="0"/>
      </w:pPr>
      <w:r>
        <w:rPr>
          <w:rFonts w:hint="eastAsia"/>
          <w:lang w:val="en-US" w:eastAsia="zh-CN"/>
        </w:rPr>
        <w:t>无</w:t>
      </w:r>
    </w:p>
    <w:p w14:paraId="1099A97B">
      <w:pPr>
        <w:pStyle w:val="6"/>
        <w:keepNext w:val="0"/>
        <w:keepLines w:val="0"/>
        <w:widowControl/>
        <w:suppressLineNumbers w:val="0"/>
        <w:jc w:val="right"/>
      </w:pPr>
      <w:r>
        <w:t>中国电子学会标准《石窟寺类文物三维数据体系建设规范》编制工作组</w:t>
      </w:r>
    </w:p>
    <w:p w14:paraId="3E93CFFD">
      <w:pPr>
        <w:pStyle w:val="6"/>
        <w:keepNext w:val="0"/>
        <w:keepLines w:val="0"/>
        <w:widowControl/>
        <w:suppressLineNumbers w:val="0"/>
        <w:jc w:val="right"/>
        <w:rPr>
          <w:rFonts w:hint="default" w:eastAsiaTheme="minorEastAsia"/>
          <w:lang w:val="en-US" w:eastAsia="zh-CN"/>
        </w:rPr>
      </w:pPr>
      <w:r>
        <w:t>202</w:t>
      </w:r>
      <w:r>
        <w:rPr>
          <w:rFonts w:hint="eastAsia"/>
          <w:lang w:val="en-US" w:eastAsia="zh-CN"/>
        </w:rPr>
        <w:t>6</w:t>
      </w:r>
      <w:r>
        <w:t>年</w:t>
      </w:r>
      <w:r>
        <w:rPr>
          <w:rFonts w:hint="eastAsia"/>
          <w:lang w:val="en-US" w:eastAsia="zh-CN"/>
        </w:rPr>
        <w:t>7</w:t>
      </w:r>
      <w:r>
        <w:t>月</w:t>
      </w:r>
      <w:r>
        <w:rPr>
          <w:rFonts w:hint="eastAsia"/>
          <w:lang w:val="en-US" w:eastAsia="zh-CN"/>
        </w:rPr>
        <w:t>29日</w:t>
      </w:r>
    </w:p>
    <w:p w14:paraId="3CC566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84750A"/>
    <w:rsid w:val="2B84750A"/>
    <w:rsid w:val="4595333B"/>
    <w:rsid w:val="4DD66B11"/>
    <w:rsid w:val="66C3067B"/>
    <w:rsid w:val="6E6D59F0"/>
    <w:rsid w:val="7BED0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Emphasis"/>
    <w:basedOn w:val="8"/>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7032</Words>
  <Characters>7376</Characters>
  <Lines>0</Lines>
  <Paragraphs>0</Paragraphs>
  <TotalTime>20</TotalTime>
  <ScaleCrop>false</ScaleCrop>
  <LinksUpToDate>false</LinksUpToDate>
  <CharactersWithSpaces>7424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2026-07-27T07:57:00Z</dcterms:created>
  <dc:creator>HELLO</dc:creator>
  <cp:lastModifiedBy>HELLO</cp:lastModifiedBy>
  <dcterms:modified xsi:type="dcterms:W3CDTF">2026-07-31T07:33:18Z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11964CD0466C4022AD53E9D15A300BC4_11</vt:lpwstr>
  </property>
  <property fmtid="{D5CDD505-2E9C-101B-9397-08002B2CF9AE}" pid="4" name="KSOTemplateDocerSaveRecord">
    <vt:lpwstr>eyJoZGlkIjoiYTczODFkMDRmZDUyMWNjNzdhODJhODIxZmYzMmY3MDYiLCJ1c2VySWQiOiIxMTU1NTY1MDcwIn0=</vt:lpwstr>
  </property>
</Properties>
</file>